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D805BD" w:rsidP="0047453B">
      <w:pPr>
        <w:ind w:left="-710" w:firstLine="695"/>
        <w:rPr>
          <w:b/>
          <w:bCs/>
        </w:rPr>
      </w:pPr>
    </w:p>
    <w:p w:rsidR="00CF1133" w:rsidRDefault="00A34E18" w:rsidP="0047453B">
      <w:pPr>
        <w:ind w:left="-710" w:firstLine="695"/>
      </w:pPr>
      <w:r>
        <w:rPr>
          <w:b/>
          <w:bCs/>
        </w:rPr>
        <w:t xml:space="preserve">Lancashire Enterprise Partnership Limited  </w:t>
      </w:r>
    </w:p>
    <w:p w:rsidR="00CF1133" w:rsidRPr="00BC4466" w:rsidRDefault="00A34E18" w:rsidP="0047453B">
      <w:pPr>
        <w:spacing w:after="0" w:line="256" w:lineRule="auto"/>
        <w:ind w:left="0" w:firstLine="0"/>
        <w:rPr>
          <w:b/>
          <w:bCs/>
        </w:rPr>
      </w:pPr>
      <w:r w:rsidRPr="00BC4466">
        <w:rPr>
          <w:b/>
          <w:bCs/>
        </w:rPr>
        <w:t xml:space="preserve"> </w:t>
      </w:r>
    </w:p>
    <w:p w:rsidR="00BC4466" w:rsidRPr="00BC4466" w:rsidRDefault="00A34E18" w:rsidP="0047453B">
      <w:pPr>
        <w:spacing w:after="0" w:line="256" w:lineRule="auto"/>
        <w:ind w:left="0" w:firstLine="0"/>
        <w:rPr>
          <w:b/>
          <w:bCs/>
        </w:rPr>
      </w:pPr>
      <w:r w:rsidRPr="00BC4466">
        <w:rPr>
          <w:b/>
        </w:rPr>
        <w:t xml:space="preserve">Private and Confidential: </w:t>
      </w:r>
      <w:r>
        <w:rPr>
          <w:b/>
        </w:rPr>
        <w:t>NO</w:t>
      </w:r>
    </w:p>
    <w:p w:rsidR="00BC4466" w:rsidRDefault="00D805BD" w:rsidP="0047453B">
      <w:pPr>
        <w:spacing w:after="0" w:line="256" w:lineRule="auto"/>
        <w:ind w:left="0" w:firstLine="0"/>
      </w:pPr>
    </w:p>
    <w:p w:rsidR="00A3358A" w:rsidRDefault="00A34E18" w:rsidP="0047453B">
      <w:r w:rsidRPr="005D0C06">
        <w:rPr>
          <w:b/>
        </w:rPr>
        <w:t>Date:</w:t>
      </w:r>
      <w:r>
        <w:t xml:space="preserve"> </w:t>
      </w:r>
      <w:r>
        <w:fldChar w:fldCharType="begin"/>
      </w:r>
      <w:r>
        <w:instrText xml:space="preserve"> DOCPROPERTY  MeetingDate  \* MERGEFORMAT </w:instrText>
      </w:r>
      <w:r>
        <w:fldChar w:fldCharType="separate"/>
      </w:r>
      <w:r>
        <w:t>Tuesday, 24 April 2018</w:t>
      </w:r>
      <w:r>
        <w:fldChar w:fldCharType="end"/>
      </w:r>
    </w:p>
    <w:p w:rsidR="00A3358A" w:rsidRDefault="00D805BD" w:rsidP="0047453B"/>
    <w:p w:rsidR="00A3358A" w:rsidRDefault="00A34E18" w:rsidP="0047453B">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Growth Deal Funding Approval and Update Report</w:t>
      </w:r>
      <w:r>
        <w:rPr>
          <w:rFonts w:eastAsia="Times New Roman" w:cs="Times New Roman"/>
          <w:b/>
          <w:color w:val="auto"/>
          <w:szCs w:val="20"/>
        </w:rPr>
        <w:fldChar w:fldCharType="end"/>
      </w:r>
    </w:p>
    <w:p w:rsidR="009C278A" w:rsidRPr="00FC7B44" w:rsidRDefault="00A34E18" w:rsidP="009C278A">
      <w:pPr>
        <w:ind w:left="0" w:firstLine="0"/>
        <w:rPr>
          <w:rFonts w:eastAsia="Times New Roman" w:cs="Times New Roman"/>
          <w:color w:val="auto"/>
          <w:szCs w:val="20"/>
        </w:rPr>
      </w:pPr>
      <w:r>
        <w:rPr>
          <w:rFonts w:eastAsia="Times New Roman" w:cs="Times New Roman"/>
          <w:color w:val="auto"/>
          <w:szCs w:val="20"/>
        </w:rPr>
        <w:t>(</w:t>
      </w:r>
      <w:r w:rsidRPr="00FC7B44">
        <w:rPr>
          <w:rFonts w:eastAsia="Times New Roman" w:cs="Times New Roman"/>
          <w:color w:val="auto"/>
          <w:szCs w:val="20"/>
        </w:rPr>
        <w:t xml:space="preserve">Appendix </w:t>
      </w:r>
      <w:r>
        <w:rPr>
          <w:rFonts w:eastAsia="Times New Roman" w:cs="Times New Roman"/>
          <w:color w:val="auto"/>
          <w:szCs w:val="20"/>
        </w:rPr>
        <w:t>'</w:t>
      </w:r>
      <w:r w:rsidRPr="00FC7B44">
        <w:rPr>
          <w:rFonts w:eastAsia="Times New Roman" w:cs="Times New Roman"/>
          <w:color w:val="auto"/>
          <w:szCs w:val="20"/>
        </w:rPr>
        <w:t>A</w:t>
      </w:r>
      <w:r>
        <w:rPr>
          <w:rFonts w:eastAsia="Times New Roman" w:cs="Times New Roman"/>
          <w:color w:val="auto"/>
          <w:szCs w:val="20"/>
        </w:rPr>
        <w:t>'</w:t>
      </w:r>
      <w:r w:rsidRPr="00FC7B44">
        <w:rPr>
          <w:rFonts w:eastAsia="Times New Roman" w:cs="Times New Roman"/>
          <w:color w:val="auto"/>
          <w:szCs w:val="20"/>
        </w:rPr>
        <w:t xml:space="preserve"> </w:t>
      </w:r>
      <w:r>
        <w:rPr>
          <w:rFonts w:eastAsia="Times New Roman" w:cs="Times New Roman"/>
          <w:color w:val="auto"/>
          <w:szCs w:val="20"/>
        </w:rPr>
        <w:t>r</w:t>
      </w:r>
      <w:r w:rsidRPr="00FC7B44">
        <w:rPr>
          <w:rFonts w:eastAsia="Times New Roman" w:cs="Times New Roman"/>
          <w:color w:val="auto"/>
          <w:szCs w:val="20"/>
        </w:rPr>
        <w:t>efers</w:t>
      </w:r>
      <w:r>
        <w:rPr>
          <w:rFonts w:eastAsia="Times New Roman" w:cs="Times New Roman"/>
          <w:color w:val="auto"/>
          <w:szCs w:val="20"/>
        </w:rPr>
        <w:t>)</w:t>
      </w:r>
    </w:p>
    <w:p w:rsidR="00D7480F" w:rsidRDefault="00D805BD" w:rsidP="0047453B">
      <w:pPr>
        <w:spacing w:after="0" w:line="256" w:lineRule="auto"/>
        <w:ind w:left="0" w:firstLine="0"/>
      </w:pPr>
    </w:p>
    <w:p w:rsidR="00F41096" w:rsidRPr="00F41096" w:rsidRDefault="00A34E18" w:rsidP="0047453B">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Kathryn Molloy</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538790</w:t>
      </w:r>
      <w:r>
        <w:rPr>
          <w:b/>
        </w:rPr>
        <w:fldChar w:fldCharType="end"/>
      </w:r>
      <w:r w:rsidRPr="00F41096">
        <w:rPr>
          <w:b/>
        </w:rPr>
        <w:t xml:space="preserve">, </w:t>
      </w:r>
    </w:p>
    <w:p w:rsidR="00F41096" w:rsidRPr="00F41096" w:rsidRDefault="00A34E18" w:rsidP="0047453B">
      <w:pPr>
        <w:ind w:right="-873"/>
        <w:rPr>
          <w:b/>
        </w:rPr>
      </w:pPr>
      <w:r>
        <w:rPr>
          <w:b/>
        </w:rPr>
        <w:fldChar w:fldCharType="begin"/>
      </w:r>
      <w:r>
        <w:rPr>
          <w:b/>
        </w:rPr>
        <w:instrText xml:space="preserve"> DOCPROPERTY  LeadOfficerEmail  \* MERGEFORMAT </w:instrText>
      </w:r>
      <w:r>
        <w:rPr>
          <w:b/>
        </w:rPr>
        <w:fldChar w:fldCharType="separate"/>
      </w:r>
      <w:r>
        <w:rPr>
          <w:b/>
        </w:rPr>
        <w:t>kathryn.molloy@lancashire.gov.uk</w:t>
      </w:r>
      <w:r>
        <w:rPr>
          <w:b/>
        </w:rPr>
        <w:fldChar w:fldCharType="end"/>
      </w:r>
    </w:p>
    <w:p w:rsidR="00CF1133" w:rsidRDefault="00A34E18" w:rsidP="0047453B">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82A92" w:rsidTr="00841251">
        <w:tc>
          <w:tcPr>
            <w:tcW w:w="9180" w:type="dxa"/>
          </w:tcPr>
          <w:p w:rsidR="00F95C8B" w:rsidRDefault="00D805BD" w:rsidP="00F9173B">
            <w:pPr>
              <w:pStyle w:val="Header"/>
            </w:pPr>
          </w:p>
          <w:p w:rsidR="00F95C8B" w:rsidRPr="00F95C8B" w:rsidRDefault="00A34E18" w:rsidP="00F9173B">
            <w:pPr>
              <w:pStyle w:val="Heading6"/>
              <w:rPr>
                <w:rFonts w:ascii="Arial" w:hAnsi="Arial"/>
                <w:b/>
                <w:color w:val="auto"/>
              </w:rPr>
            </w:pPr>
            <w:r w:rsidRPr="00F95C8B">
              <w:rPr>
                <w:rFonts w:ascii="Arial" w:hAnsi="Arial"/>
                <w:b/>
                <w:color w:val="auto"/>
              </w:rPr>
              <w:t>Executive Summary</w:t>
            </w:r>
          </w:p>
          <w:p w:rsidR="00F95C8B" w:rsidRPr="00F95C8B" w:rsidRDefault="00D805BD" w:rsidP="00F9173B">
            <w:pPr>
              <w:rPr>
                <w:color w:val="auto"/>
              </w:rPr>
            </w:pPr>
          </w:p>
          <w:p w:rsidR="00F95C8B" w:rsidRDefault="00A34E18" w:rsidP="00F9173B">
            <w:pPr>
              <w:ind w:left="0" w:firstLine="0"/>
              <w:rPr>
                <w:color w:val="auto"/>
              </w:rPr>
            </w:pPr>
            <w:r>
              <w:rPr>
                <w:color w:val="auto"/>
              </w:rPr>
              <w:t>This report requests that the LEP Board approves a funding allocation for the North West Burnley Growth Corridor scheme.</w:t>
            </w:r>
          </w:p>
          <w:p w:rsidR="00E73CCB" w:rsidRDefault="00D805BD" w:rsidP="00F9173B">
            <w:pPr>
              <w:ind w:left="0" w:firstLine="0"/>
              <w:rPr>
                <w:color w:val="auto"/>
              </w:rPr>
            </w:pPr>
          </w:p>
          <w:p w:rsidR="00E73CCB" w:rsidRPr="00F95C8B" w:rsidRDefault="00A34E18" w:rsidP="00F9173B">
            <w:pPr>
              <w:ind w:left="0" w:firstLine="0"/>
              <w:rPr>
                <w:color w:val="auto"/>
              </w:rPr>
            </w:pPr>
            <w:r>
              <w:rPr>
                <w:color w:val="auto"/>
              </w:rPr>
              <w:t>The report also provides the LEP Board with an updated approval process for the redistribution of unallocated Growth Deal funds and provides an update on the overall performance of the Growth Deal programme, including the new requirement from Government for the LEP Board to sign-off Growth Deal claims.</w:t>
            </w:r>
          </w:p>
          <w:p w:rsidR="00F95C8B" w:rsidRPr="00F95C8B" w:rsidRDefault="00D805BD" w:rsidP="00F9173B">
            <w:pPr>
              <w:rPr>
                <w:color w:val="auto"/>
              </w:rPr>
            </w:pPr>
          </w:p>
          <w:p w:rsidR="00F95C8B" w:rsidRPr="00F95C8B" w:rsidRDefault="00A34E18" w:rsidP="00F9173B">
            <w:pPr>
              <w:pStyle w:val="Heading5"/>
              <w:rPr>
                <w:rFonts w:ascii="Arial" w:hAnsi="Arial"/>
                <w:b/>
                <w:color w:val="auto"/>
              </w:rPr>
            </w:pPr>
            <w:r w:rsidRPr="00F95C8B">
              <w:rPr>
                <w:rFonts w:ascii="Arial" w:hAnsi="Arial"/>
                <w:b/>
                <w:color w:val="auto"/>
              </w:rPr>
              <w:t>Recommendation</w:t>
            </w:r>
          </w:p>
          <w:p w:rsidR="00F95C8B" w:rsidRPr="00F95C8B" w:rsidRDefault="00D805BD" w:rsidP="00F9173B">
            <w:pPr>
              <w:rPr>
                <w:color w:val="auto"/>
              </w:rPr>
            </w:pPr>
          </w:p>
          <w:p w:rsidR="00F95C8B" w:rsidRDefault="00A34E18" w:rsidP="00F9173B">
            <w:pPr>
              <w:rPr>
                <w:color w:val="auto"/>
              </w:rPr>
            </w:pPr>
            <w:r>
              <w:rPr>
                <w:color w:val="auto"/>
              </w:rPr>
              <w:t>The LEP Board is asked to:</w:t>
            </w:r>
          </w:p>
          <w:p w:rsidR="00F9173B" w:rsidRDefault="00D805BD" w:rsidP="00F9173B">
            <w:pPr>
              <w:rPr>
                <w:color w:val="auto"/>
              </w:rPr>
            </w:pPr>
          </w:p>
          <w:p w:rsidR="00D805BD" w:rsidRDefault="00A34E18" w:rsidP="00D805BD">
            <w:pPr>
              <w:pStyle w:val="ListParagraph"/>
              <w:numPr>
                <w:ilvl w:val="0"/>
                <w:numId w:val="10"/>
              </w:numPr>
              <w:rPr>
                <w:bCs/>
                <w:color w:val="auto"/>
              </w:rPr>
            </w:pPr>
            <w:r w:rsidRPr="00D805BD">
              <w:rPr>
                <w:color w:val="auto"/>
              </w:rPr>
              <w:t>A</w:t>
            </w:r>
            <w:r w:rsidRPr="00D805BD">
              <w:rPr>
                <w:bCs/>
                <w:color w:val="auto"/>
              </w:rPr>
              <w:t>pprove a maximum funding allocation of £4.9m to the North West Burnley Growth Corridor scheme subject to the conditions agreed by the Growth Deal Management Board;</w:t>
            </w:r>
          </w:p>
          <w:p w:rsidR="00D805BD" w:rsidRDefault="00D805BD" w:rsidP="00D805BD">
            <w:pPr>
              <w:pStyle w:val="ListParagraph"/>
              <w:ind w:left="1080" w:firstLine="0"/>
              <w:rPr>
                <w:bCs/>
                <w:color w:val="auto"/>
              </w:rPr>
            </w:pPr>
          </w:p>
          <w:p w:rsidR="00D805BD" w:rsidRDefault="00A34E18" w:rsidP="00D805BD">
            <w:pPr>
              <w:pStyle w:val="ListParagraph"/>
              <w:numPr>
                <w:ilvl w:val="0"/>
                <w:numId w:val="10"/>
              </w:numPr>
              <w:rPr>
                <w:bCs/>
                <w:color w:val="auto"/>
              </w:rPr>
            </w:pPr>
            <w:r w:rsidRPr="00D805BD">
              <w:rPr>
                <w:bCs/>
                <w:color w:val="auto"/>
              </w:rPr>
              <w:t>Approve the retention of £2.1m of the original £7m allocation for the North West Burnley Growth Corridor scheme for a period of four months and, in the event that the £2.1m is not required for the scheme, agree that it will be subject to the LEP's approval process for redistributing any unallocated funds within the Growth Deal programme;</w:t>
            </w:r>
          </w:p>
          <w:p w:rsidR="00D805BD" w:rsidRPr="00D805BD" w:rsidRDefault="00D805BD" w:rsidP="00D805BD">
            <w:pPr>
              <w:pStyle w:val="ListParagraph"/>
              <w:rPr>
                <w:bCs/>
                <w:color w:val="auto"/>
              </w:rPr>
            </w:pPr>
          </w:p>
          <w:p w:rsidR="00D805BD" w:rsidRDefault="00A34E18" w:rsidP="00D805BD">
            <w:pPr>
              <w:pStyle w:val="ListParagraph"/>
              <w:numPr>
                <w:ilvl w:val="0"/>
                <w:numId w:val="10"/>
              </w:numPr>
              <w:rPr>
                <w:bCs/>
                <w:color w:val="auto"/>
              </w:rPr>
            </w:pPr>
            <w:r w:rsidRPr="00D805BD">
              <w:rPr>
                <w:bCs/>
                <w:color w:val="auto"/>
              </w:rPr>
              <w:t>Approve the changes to the Growth Deal unallocated funding approval process as set out in this report; and</w:t>
            </w:r>
          </w:p>
          <w:p w:rsidR="00D805BD" w:rsidRPr="00D805BD" w:rsidRDefault="00D805BD" w:rsidP="00D805BD">
            <w:pPr>
              <w:pStyle w:val="ListParagraph"/>
              <w:rPr>
                <w:bCs/>
                <w:color w:val="auto"/>
              </w:rPr>
            </w:pPr>
          </w:p>
          <w:p w:rsidR="00F95C8B" w:rsidRDefault="00A34E18" w:rsidP="00D805BD">
            <w:pPr>
              <w:pStyle w:val="ListParagraph"/>
              <w:numPr>
                <w:ilvl w:val="0"/>
                <w:numId w:val="10"/>
              </w:numPr>
              <w:rPr>
                <w:bCs/>
                <w:color w:val="auto"/>
              </w:rPr>
            </w:pPr>
            <w:r w:rsidRPr="00D805BD">
              <w:rPr>
                <w:bCs/>
                <w:color w:val="auto"/>
              </w:rPr>
              <w:t>Approve the process for approving Growth Deal quarterly reporting submissions to the Cities and Local Growth Unit, including providing retrospective approval for the Quarter 3 2017/18 Quarterly Reporting Summary Dashboard.</w:t>
            </w:r>
          </w:p>
          <w:p w:rsidR="00D805BD" w:rsidRPr="00D805BD" w:rsidRDefault="00D805BD" w:rsidP="00D805BD">
            <w:pPr>
              <w:ind w:left="0" w:firstLine="0"/>
              <w:rPr>
                <w:bCs/>
                <w:color w:val="auto"/>
              </w:rPr>
            </w:pPr>
          </w:p>
        </w:tc>
      </w:tr>
    </w:tbl>
    <w:p w:rsidR="00ED7762" w:rsidRDefault="00D805BD" w:rsidP="00F9173B">
      <w:pPr>
        <w:rPr>
          <w:b/>
        </w:rPr>
      </w:pPr>
    </w:p>
    <w:p w:rsidR="00FC7B44" w:rsidRDefault="00D805BD" w:rsidP="00F9173B">
      <w:pPr>
        <w:rPr>
          <w:b/>
        </w:rPr>
      </w:pPr>
      <w:bookmarkStart w:id="0" w:name="_GoBack"/>
      <w:bookmarkEnd w:id="0"/>
    </w:p>
    <w:p w:rsidR="00A3358A" w:rsidRDefault="00A34E18" w:rsidP="00F9173B">
      <w:pPr>
        <w:rPr>
          <w:b/>
        </w:rPr>
      </w:pPr>
      <w:r>
        <w:rPr>
          <w:b/>
        </w:rPr>
        <w:lastRenderedPageBreak/>
        <w:t xml:space="preserve">Background and Advice </w:t>
      </w:r>
    </w:p>
    <w:p w:rsidR="00A3358A" w:rsidRDefault="00D805BD" w:rsidP="00F9173B">
      <w:pPr>
        <w:rPr>
          <w:b/>
        </w:rPr>
      </w:pPr>
    </w:p>
    <w:p w:rsidR="00ED2447" w:rsidRPr="00ED2447" w:rsidRDefault="00A34E18" w:rsidP="00F9173B">
      <w:pPr>
        <w:spacing w:after="0" w:line="240" w:lineRule="auto"/>
        <w:ind w:left="0" w:firstLine="0"/>
        <w:rPr>
          <w:b/>
          <w:color w:val="auto"/>
          <w:lang w:eastAsia="en-US"/>
        </w:rPr>
      </w:pPr>
      <w:r w:rsidRPr="00ED2447">
        <w:rPr>
          <w:b/>
          <w:color w:val="auto"/>
          <w:lang w:eastAsia="en-US"/>
        </w:rPr>
        <w:t xml:space="preserve">North West Burnley </w:t>
      </w:r>
      <w:r>
        <w:rPr>
          <w:b/>
          <w:color w:val="auto"/>
          <w:lang w:eastAsia="en-US"/>
        </w:rPr>
        <w:t>G</w:t>
      </w:r>
      <w:r w:rsidRPr="00ED2447">
        <w:rPr>
          <w:b/>
          <w:color w:val="auto"/>
          <w:lang w:eastAsia="en-US"/>
        </w:rPr>
        <w:t>rowth Corridor</w:t>
      </w:r>
    </w:p>
    <w:p w:rsidR="00ED2447" w:rsidRDefault="00D805BD" w:rsidP="00F9173B">
      <w:pPr>
        <w:spacing w:after="0" w:line="240" w:lineRule="auto"/>
        <w:ind w:left="0" w:firstLine="0"/>
        <w:rPr>
          <w:color w:val="auto"/>
          <w:lang w:eastAsia="en-US"/>
        </w:rPr>
      </w:pPr>
    </w:p>
    <w:p w:rsidR="00E951EE" w:rsidRDefault="00A34E18" w:rsidP="00F9173B">
      <w:pPr>
        <w:spacing w:after="0" w:line="240" w:lineRule="auto"/>
        <w:ind w:left="0" w:firstLine="0"/>
        <w:rPr>
          <w:color w:val="auto"/>
          <w:lang w:eastAsia="en-US"/>
        </w:rPr>
      </w:pPr>
      <w:r w:rsidRPr="005107F1">
        <w:rPr>
          <w:color w:val="auto"/>
          <w:lang w:eastAsia="en-US"/>
        </w:rPr>
        <w:t>At the meeting of the G</w:t>
      </w:r>
      <w:r>
        <w:rPr>
          <w:color w:val="auto"/>
          <w:lang w:eastAsia="en-US"/>
        </w:rPr>
        <w:t xml:space="preserve">rowth </w:t>
      </w:r>
      <w:r w:rsidRPr="005107F1">
        <w:rPr>
          <w:color w:val="auto"/>
          <w:lang w:eastAsia="en-US"/>
        </w:rPr>
        <w:t>D</w:t>
      </w:r>
      <w:r>
        <w:rPr>
          <w:color w:val="auto"/>
          <w:lang w:eastAsia="en-US"/>
        </w:rPr>
        <w:t xml:space="preserve">eal </w:t>
      </w:r>
      <w:r w:rsidRPr="005107F1">
        <w:rPr>
          <w:color w:val="auto"/>
          <w:lang w:eastAsia="en-US"/>
        </w:rPr>
        <w:t>M</w:t>
      </w:r>
      <w:r>
        <w:rPr>
          <w:color w:val="auto"/>
          <w:lang w:eastAsia="en-US"/>
        </w:rPr>
        <w:t xml:space="preserve">anagement </w:t>
      </w:r>
      <w:r w:rsidRPr="005107F1">
        <w:rPr>
          <w:color w:val="auto"/>
          <w:lang w:eastAsia="en-US"/>
        </w:rPr>
        <w:t>B</w:t>
      </w:r>
      <w:r>
        <w:rPr>
          <w:color w:val="auto"/>
          <w:lang w:eastAsia="en-US"/>
        </w:rPr>
        <w:t xml:space="preserve">oard in December, </w:t>
      </w:r>
      <w:r w:rsidRPr="005107F1">
        <w:rPr>
          <w:color w:val="auto"/>
          <w:lang w:eastAsia="en-US"/>
        </w:rPr>
        <w:t xml:space="preserve">Genecon Consulting Ltd presented their </w:t>
      </w:r>
      <w:r>
        <w:rPr>
          <w:color w:val="auto"/>
          <w:lang w:eastAsia="en-US"/>
        </w:rPr>
        <w:t xml:space="preserve">independent </w:t>
      </w:r>
      <w:r w:rsidRPr="005107F1">
        <w:rPr>
          <w:color w:val="auto"/>
          <w:lang w:eastAsia="en-US"/>
        </w:rPr>
        <w:t xml:space="preserve">appraisal </w:t>
      </w:r>
      <w:r>
        <w:rPr>
          <w:color w:val="auto"/>
          <w:lang w:eastAsia="en-US"/>
        </w:rPr>
        <w:t xml:space="preserve">findings </w:t>
      </w:r>
      <w:r w:rsidRPr="005107F1">
        <w:rPr>
          <w:color w:val="auto"/>
          <w:lang w:eastAsia="en-US"/>
        </w:rPr>
        <w:t>of the N</w:t>
      </w:r>
      <w:r>
        <w:rPr>
          <w:color w:val="auto"/>
          <w:lang w:eastAsia="en-US"/>
        </w:rPr>
        <w:t xml:space="preserve">orth </w:t>
      </w:r>
      <w:r w:rsidRPr="005107F1">
        <w:rPr>
          <w:color w:val="auto"/>
          <w:lang w:eastAsia="en-US"/>
        </w:rPr>
        <w:t>W</w:t>
      </w:r>
      <w:r>
        <w:rPr>
          <w:color w:val="auto"/>
          <w:lang w:eastAsia="en-US"/>
        </w:rPr>
        <w:t xml:space="preserve">est </w:t>
      </w:r>
      <w:r w:rsidRPr="005107F1">
        <w:rPr>
          <w:color w:val="auto"/>
          <w:lang w:eastAsia="en-US"/>
        </w:rPr>
        <w:t>B</w:t>
      </w:r>
      <w:r>
        <w:rPr>
          <w:color w:val="auto"/>
          <w:lang w:eastAsia="en-US"/>
        </w:rPr>
        <w:t xml:space="preserve">urnley </w:t>
      </w:r>
      <w:r w:rsidRPr="005107F1">
        <w:rPr>
          <w:color w:val="auto"/>
          <w:lang w:eastAsia="en-US"/>
        </w:rPr>
        <w:t>G</w:t>
      </w:r>
      <w:r>
        <w:rPr>
          <w:color w:val="auto"/>
          <w:lang w:eastAsia="en-US"/>
        </w:rPr>
        <w:t xml:space="preserve">rowth </w:t>
      </w:r>
      <w:r w:rsidRPr="005107F1">
        <w:rPr>
          <w:color w:val="auto"/>
          <w:lang w:eastAsia="en-US"/>
        </w:rPr>
        <w:t>C</w:t>
      </w:r>
      <w:r>
        <w:rPr>
          <w:color w:val="auto"/>
          <w:lang w:eastAsia="en-US"/>
        </w:rPr>
        <w:t>orridor b</w:t>
      </w:r>
      <w:r w:rsidRPr="005107F1">
        <w:rPr>
          <w:color w:val="auto"/>
          <w:lang w:eastAsia="en-US"/>
        </w:rPr>
        <w:t>usiness case</w:t>
      </w:r>
      <w:r>
        <w:rPr>
          <w:color w:val="auto"/>
          <w:lang w:eastAsia="en-US"/>
        </w:rPr>
        <w:t xml:space="preserve">. The scheme, which </w:t>
      </w:r>
      <w:r w:rsidRPr="005107F1">
        <w:rPr>
          <w:color w:val="auto"/>
          <w:lang w:eastAsia="en-US"/>
        </w:rPr>
        <w:t>was seeking a £7m Growth Deal funding approval recommendation</w:t>
      </w:r>
      <w:r>
        <w:rPr>
          <w:color w:val="auto"/>
          <w:lang w:eastAsia="en-US"/>
        </w:rPr>
        <w:t>, w</w:t>
      </w:r>
      <w:r w:rsidRPr="005107F1">
        <w:rPr>
          <w:color w:val="auto"/>
          <w:lang w:eastAsia="en-US"/>
        </w:rPr>
        <w:t xml:space="preserve">ould deliver infrastructure works at three sites in Padiham and Burnley, </w:t>
      </w:r>
      <w:r>
        <w:rPr>
          <w:color w:val="auto"/>
          <w:lang w:eastAsia="en-US"/>
        </w:rPr>
        <w:t xml:space="preserve">to unlock employment and housing growth. </w:t>
      </w:r>
    </w:p>
    <w:p w:rsidR="00E951EE" w:rsidRDefault="00D805BD" w:rsidP="00F9173B">
      <w:pPr>
        <w:spacing w:after="0" w:line="240" w:lineRule="auto"/>
        <w:ind w:left="0" w:firstLine="0"/>
        <w:rPr>
          <w:color w:val="auto"/>
          <w:lang w:eastAsia="en-US"/>
        </w:rPr>
      </w:pPr>
    </w:p>
    <w:p w:rsidR="00AE4ED3" w:rsidRPr="005107F1" w:rsidRDefault="00A34E18" w:rsidP="00F9173B">
      <w:pPr>
        <w:spacing w:after="0" w:line="240" w:lineRule="auto"/>
        <w:ind w:left="0" w:firstLine="0"/>
        <w:rPr>
          <w:color w:val="auto"/>
          <w:lang w:eastAsia="en-US"/>
        </w:rPr>
      </w:pPr>
      <w:r>
        <w:rPr>
          <w:color w:val="auto"/>
          <w:lang w:eastAsia="en-US"/>
        </w:rPr>
        <w:t>The scheme focused on three main elements</w:t>
      </w:r>
      <w:r w:rsidRPr="005107F1">
        <w:rPr>
          <w:color w:val="auto"/>
          <w:lang w:eastAsia="en-US"/>
        </w:rPr>
        <w:t>:</w:t>
      </w:r>
    </w:p>
    <w:p w:rsidR="00AE4ED3" w:rsidRPr="005107F1" w:rsidRDefault="00D805BD" w:rsidP="00F9173B">
      <w:pPr>
        <w:spacing w:after="0" w:line="240" w:lineRule="auto"/>
        <w:ind w:left="0" w:firstLine="0"/>
        <w:rPr>
          <w:color w:val="auto"/>
          <w:lang w:eastAsia="en-US"/>
        </w:rPr>
      </w:pPr>
    </w:p>
    <w:p w:rsidR="00E951EE" w:rsidRDefault="00A34E18" w:rsidP="00F9173B">
      <w:pPr>
        <w:pStyle w:val="ListParagraph"/>
        <w:numPr>
          <w:ilvl w:val="0"/>
          <w:numId w:val="6"/>
        </w:numPr>
        <w:spacing w:after="0" w:line="240" w:lineRule="auto"/>
        <w:rPr>
          <w:color w:val="auto"/>
          <w:lang w:eastAsia="en-US"/>
        </w:rPr>
      </w:pPr>
      <w:r w:rsidRPr="00E951EE">
        <w:rPr>
          <w:color w:val="auto"/>
          <w:lang w:eastAsia="en-US"/>
        </w:rPr>
        <w:t>Raised flood defences along the River Calder and Green Brook through Padiham to enable housing growth delivery;</w:t>
      </w:r>
    </w:p>
    <w:p w:rsidR="00E951EE" w:rsidRDefault="00A34E18" w:rsidP="00F9173B">
      <w:pPr>
        <w:pStyle w:val="ListParagraph"/>
        <w:numPr>
          <w:ilvl w:val="0"/>
          <w:numId w:val="6"/>
        </w:numPr>
        <w:spacing w:after="0" w:line="240" w:lineRule="auto"/>
        <w:rPr>
          <w:color w:val="auto"/>
          <w:lang w:eastAsia="en-US"/>
        </w:rPr>
      </w:pPr>
      <w:r w:rsidRPr="00E951EE">
        <w:rPr>
          <w:color w:val="auto"/>
          <w:lang w:eastAsia="en-US"/>
        </w:rPr>
        <w:t xml:space="preserve">Public Realm Improvements aimed at boosting the vitality of Padiham Town Centre; and </w:t>
      </w:r>
    </w:p>
    <w:p w:rsidR="00AE4ED3" w:rsidRPr="00E951EE" w:rsidRDefault="00A34E18" w:rsidP="00F9173B">
      <w:pPr>
        <w:pStyle w:val="ListParagraph"/>
        <w:numPr>
          <w:ilvl w:val="0"/>
          <w:numId w:val="6"/>
        </w:numPr>
        <w:spacing w:after="0" w:line="240" w:lineRule="auto"/>
        <w:rPr>
          <w:color w:val="auto"/>
          <w:lang w:eastAsia="en-US"/>
        </w:rPr>
      </w:pPr>
      <w:r w:rsidRPr="00E951EE">
        <w:rPr>
          <w:color w:val="auto"/>
          <w:lang w:eastAsia="en-US"/>
        </w:rPr>
        <w:t xml:space="preserve">Junction Improvements at </w:t>
      </w:r>
      <w:r>
        <w:rPr>
          <w:color w:val="auto"/>
          <w:lang w:eastAsia="en-US"/>
        </w:rPr>
        <w:t xml:space="preserve">the </w:t>
      </w:r>
      <w:r w:rsidRPr="00E951EE">
        <w:rPr>
          <w:color w:val="auto"/>
          <w:lang w:eastAsia="en-US"/>
        </w:rPr>
        <w:t>A6068/A678 Blackburn Road junction, which would enable the development of the proposed Shuttleworth Mead</w:t>
      </w:r>
      <w:r>
        <w:rPr>
          <w:color w:val="auto"/>
          <w:lang w:eastAsia="en-US"/>
        </w:rPr>
        <w:t>e</w:t>
      </w:r>
      <w:r w:rsidRPr="00E951EE">
        <w:rPr>
          <w:color w:val="auto"/>
          <w:lang w:eastAsia="en-US"/>
        </w:rPr>
        <w:t xml:space="preserve"> Employment Site.  </w:t>
      </w:r>
    </w:p>
    <w:p w:rsidR="00AE4ED3" w:rsidRPr="005107F1" w:rsidRDefault="00D805BD" w:rsidP="00F9173B">
      <w:pPr>
        <w:spacing w:after="0" w:line="240" w:lineRule="auto"/>
        <w:ind w:left="0" w:firstLine="0"/>
        <w:rPr>
          <w:color w:val="auto"/>
          <w:lang w:eastAsia="en-US"/>
        </w:rPr>
      </w:pPr>
    </w:p>
    <w:p w:rsidR="00AE4ED3" w:rsidRPr="005107F1" w:rsidRDefault="00A34E18" w:rsidP="00F9173B">
      <w:pPr>
        <w:spacing w:after="0" w:line="240" w:lineRule="auto"/>
        <w:ind w:left="0" w:firstLine="0"/>
        <w:rPr>
          <w:rFonts w:eastAsia="Times New Roman" w:cs="Times New Roman"/>
          <w:bCs/>
          <w:color w:val="auto"/>
          <w:lang w:eastAsia="en-US"/>
        </w:rPr>
      </w:pPr>
      <w:r>
        <w:rPr>
          <w:color w:val="auto"/>
          <w:lang w:eastAsia="en-US"/>
        </w:rPr>
        <w:t>The Growth Deal Management Board r</w:t>
      </w:r>
      <w:r w:rsidRPr="005107F1">
        <w:rPr>
          <w:color w:val="auto"/>
          <w:lang w:eastAsia="en-US"/>
        </w:rPr>
        <w:t xml:space="preserve">esolved </w:t>
      </w:r>
      <w:r>
        <w:rPr>
          <w:color w:val="auto"/>
          <w:lang w:eastAsia="en-US"/>
        </w:rPr>
        <w:t xml:space="preserve">that </w:t>
      </w:r>
      <w:r w:rsidRPr="005107F1">
        <w:rPr>
          <w:rFonts w:eastAsia="Times New Roman" w:cs="Times New Roman"/>
          <w:bCs/>
          <w:color w:val="auto"/>
          <w:lang w:eastAsia="en-US"/>
        </w:rPr>
        <w:t xml:space="preserve">a </w:t>
      </w:r>
      <w:r>
        <w:rPr>
          <w:rFonts w:eastAsia="Times New Roman" w:cs="Times New Roman"/>
          <w:bCs/>
          <w:color w:val="auto"/>
          <w:lang w:eastAsia="en-US"/>
        </w:rPr>
        <w:t xml:space="preserve">funding approval for a </w:t>
      </w:r>
      <w:r w:rsidRPr="005107F1">
        <w:rPr>
          <w:rFonts w:eastAsia="Times New Roman" w:cs="Times New Roman"/>
          <w:bCs/>
          <w:color w:val="auto"/>
          <w:lang w:eastAsia="en-US"/>
        </w:rPr>
        <w:t xml:space="preserve">maximum £7m </w:t>
      </w:r>
      <w:r>
        <w:rPr>
          <w:rFonts w:eastAsia="Times New Roman" w:cs="Times New Roman"/>
          <w:bCs/>
          <w:color w:val="auto"/>
          <w:lang w:eastAsia="en-US"/>
        </w:rPr>
        <w:t xml:space="preserve">of </w:t>
      </w:r>
      <w:r w:rsidRPr="005107F1">
        <w:rPr>
          <w:rFonts w:eastAsia="Times New Roman" w:cs="Times New Roman"/>
          <w:bCs/>
          <w:color w:val="auto"/>
          <w:lang w:eastAsia="en-US"/>
        </w:rPr>
        <w:t xml:space="preserve">Growth Deal funding be recommended to the next meeting of the </w:t>
      </w:r>
      <w:r>
        <w:rPr>
          <w:rFonts w:eastAsia="Times New Roman" w:cs="Times New Roman"/>
          <w:bCs/>
          <w:color w:val="auto"/>
          <w:lang w:eastAsia="en-US"/>
        </w:rPr>
        <w:t>LEP</w:t>
      </w:r>
      <w:r w:rsidRPr="005107F1">
        <w:rPr>
          <w:rFonts w:eastAsia="Times New Roman" w:cs="Times New Roman"/>
          <w:bCs/>
          <w:color w:val="auto"/>
          <w:lang w:eastAsia="en-US"/>
        </w:rPr>
        <w:t xml:space="preserve"> Board subjec</w:t>
      </w:r>
      <w:r>
        <w:rPr>
          <w:rFonts w:eastAsia="Times New Roman" w:cs="Times New Roman"/>
          <w:bCs/>
          <w:color w:val="auto"/>
          <w:lang w:eastAsia="en-US"/>
        </w:rPr>
        <w:t>t to the conditions precedent identified</w:t>
      </w:r>
      <w:r w:rsidRPr="005107F1">
        <w:rPr>
          <w:rFonts w:eastAsia="Times New Roman" w:cs="Times New Roman"/>
          <w:bCs/>
          <w:color w:val="auto"/>
          <w:lang w:eastAsia="en-US"/>
        </w:rPr>
        <w:t xml:space="preserve"> in the independent appraisal report</w:t>
      </w:r>
      <w:r>
        <w:rPr>
          <w:rFonts w:eastAsia="Times New Roman" w:cs="Times New Roman"/>
          <w:bCs/>
          <w:color w:val="auto"/>
          <w:lang w:eastAsia="en-US"/>
        </w:rPr>
        <w:t>.</w:t>
      </w:r>
    </w:p>
    <w:p w:rsidR="00AE4ED3" w:rsidRDefault="00D805BD" w:rsidP="00F9173B">
      <w:pPr>
        <w:spacing w:after="0" w:line="240" w:lineRule="auto"/>
        <w:ind w:left="0" w:firstLine="0"/>
        <w:rPr>
          <w:rFonts w:eastAsia="Times New Roman" w:cs="Times New Roman"/>
          <w:bCs/>
          <w:color w:val="auto"/>
          <w:lang w:eastAsia="en-US"/>
        </w:rPr>
      </w:pPr>
    </w:p>
    <w:p w:rsidR="00AE4ED3" w:rsidRDefault="00A34E18" w:rsidP="00F9173B">
      <w:pPr>
        <w:spacing w:after="0" w:line="240" w:lineRule="auto"/>
        <w:ind w:left="0" w:firstLine="0"/>
        <w:rPr>
          <w:rFonts w:eastAsia="Times New Roman" w:cs="Times New Roman"/>
          <w:bCs/>
          <w:color w:val="auto"/>
          <w:lang w:eastAsia="en-US"/>
        </w:rPr>
      </w:pPr>
      <w:r>
        <w:rPr>
          <w:rFonts w:eastAsia="Times New Roman" w:cs="Times New Roman"/>
          <w:bCs/>
          <w:color w:val="auto"/>
          <w:lang w:eastAsia="en-US"/>
        </w:rPr>
        <w:t>In January, the scheme applicant, Burnley Borough Council, requested that the presentation of the scheme to the January meeting of the LEP Board to seek a funding approval be deferred.</w:t>
      </w:r>
    </w:p>
    <w:p w:rsidR="00AE4ED3" w:rsidRPr="005107F1" w:rsidRDefault="00A34E18" w:rsidP="00F9173B">
      <w:pPr>
        <w:spacing w:after="0" w:line="240" w:lineRule="auto"/>
        <w:ind w:left="0" w:firstLine="0"/>
        <w:rPr>
          <w:b/>
          <w:color w:val="auto"/>
          <w:lang w:eastAsia="en-US"/>
        </w:rPr>
      </w:pPr>
      <w:r w:rsidRPr="005107F1">
        <w:rPr>
          <w:rFonts w:eastAsia="Times New Roman" w:cs="Times New Roman"/>
          <w:bCs/>
          <w:color w:val="auto"/>
          <w:lang w:eastAsia="en-US"/>
        </w:rPr>
        <w:t xml:space="preserve"> </w:t>
      </w:r>
    </w:p>
    <w:p w:rsidR="00AE4ED3" w:rsidRDefault="00A34E18" w:rsidP="00F9173B">
      <w:pPr>
        <w:spacing w:after="0" w:line="240" w:lineRule="auto"/>
        <w:ind w:left="0" w:firstLine="0"/>
        <w:rPr>
          <w:color w:val="auto"/>
          <w:lang w:eastAsia="en-US"/>
        </w:rPr>
      </w:pPr>
      <w:r>
        <w:rPr>
          <w:color w:val="auto"/>
          <w:lang w:eastAsia="en-US"/>
        </w:rPr>
        <w:t xml:space="preserve">In July 2017, </w:t>
      </w:r>
      <w:r w:rsidRPr="005107F1">
        <w:rPr>
          <w:color w:val="auto"/>
          <w:lang w:eastAsia="en-US"/>
        </w:rPr>
        <w:t xml:space="preserve">Burnley </w:t>
      </w:r>
      <w:r>
        <w:rPr>
          <w:color w:val="auto"/>
          <w:lang w:eastAsia="en-US"/>
        </w:rPr>
        <w:t xml:space="preserve">Borough </w:t>
      </w:r>
      <w:r w:rsidRPr="005107F1">
        <w:rPr>
          <w:color w:val="auto"/>
          <w:lang w:eastAsia="en-US"/>
        </w:rPr>
        <w:t xml:space="preserve">Council </w:t>
      </w:r>
      <w:r>
        <w:rPr>
          <w:color w:val="auto"/>
          <w:lang w:eastAsia="en-US"/>
        </w:rPr>
        <w:t xml:space="preserve">had </w:t>
      </w:r>
      <w:r w:rsidRPr="005107F1">
        <w:rPr>
          <w:color w:val="auto"/>
          <w:lang w:eastAsia="en-US"/>
        </w:rPr>
        <w:t xml:space="preserve">submitted a full Local Plan for examination with public hearings taking place in November and December 2017.  </w:t>
      </w:r>
      <w:r>
        <w:rPr>
          <w:color w:val="auto"/>
          <w:lang w:eastAsia="en-US"/>
        </w:rPr>
        <w:t xml:space="preserve">The Local Plan included a proposed change to land use at the Shuttleworth Meade and Baxi Sites, to enable the sites to come forward for employment and housing uses. </w:t>
      </w:r>
    </w:p>
    <w:p w:rsidR="00F9173B" w:rsidRPr="00F9173B" w:rsidRDefault="00D805BD" w:rsidP="00F9173B">
      <w:pPr>
        <w:spacing w:after="0" w:line="240" w:lineRule="auto"/>
        <w:ind w:left="0" w:firstLine="0"/>
        <w:rPr>
          <w:color w:val="auto"/>
          <w:lang w:eastAsia="en-US"/>
        </w:rPr>
      </w:pPr>
    </w:p>
    <w:p w:rsidR="00E951EE" w:rsidRPr="00F9173B" w:rsidRDefault="00A34E18" w:rsidP="00F9173B">
      <w:pPr>
        <w:spacing w:after="0" w:line="240" w:lineRule="auto"/>
        <w:ind w:left="0" w:firstLine="0"/>
        <w:rPr>
          <w:color w:val="auto"/>
        </w:rPr>
      </w:pPr>
      <w:r w:rsidRPr="00F9173B">
        <w:rPr>
          <w:color w:val="auto"/>
          <w:lang w:eastAsia="en-US"/>
        </w:rPr>
        <w:t xml:space="preserve">The Inspector is proposing </w:t>
      </w:r>
      <w:r w:rsidRPr="00F9173B">
        <w:rPr>
          <w:color w:val="auto"/>
        </w:rPr>
        <w:t>a main modification to reduce the employment land allocation from 90ha to 66 ha and the removal of two employment sites, including Shuttleworth Meade, from the plan.  The Inspector's proposed modifications are currently being consulted on and once the consultation has been completed the Inspector will make a final decision and issue a report.</w:t>
      </w:r>
    </w:p>
    <w:p w:rsidR="00F9173B" w:rsidRDefault="00D805BD" w:rsidP="00F9173B">
      <w:pPr>
        <w:spacing w:after="0" w:line="240" w:lineRule="auto"/>
        <w:ind w:left="0" w:firstLine="0"/>
        <w:rPr>
          <w:color w:val="auto"/>
          <w:lang w:eastAsia="en-US"/>
        </w:rPr>
      </w:pPr>
    </w:p>
    <w:p w:rsidR="00AE4ED3" w:rsidRPr="005107F1" w:rsidRDefault="00A34E18" w:rsidP="00F9173B">
      <w:pPr>
        <w:spacing w:after="0" w:line="240" w:lineRule="auto"/>
        <w:ind w:left="0" w:firstLine="0"/>
        <w:rPr>
          <w:color w:val="auto"/>
          <w:lang w:eastAsia="en-US"/>
        </w:rPr>
      </w:pPr>
      <w:r w:rsidRPr="005107F1">
        <w:rPr>
          <w:color w:val="auto"/>
          <w:lang w:eastAsia="en-US"/>
        </w:rPr>
        <w:t xml:space="preserve">The change of land use for the Baxi Site was accepted by the </w:t>
      </w:r>
      <w:r>
        <w:rPr>
          <w:color w:val="auto"/>
          <w:lang w:eastAsia="en-US"/>
        </w:rPr>
        <w:t>I</w:t>
      </w:r>
      <w:r w:rsidRPr="005107F1">
        <w:rPr>
          <w:color w:val="auto"/>
          <w:lang w:eastAsia="en-US"/>
        </w:rPr>
        <w:t xml:space="preserve">nspector. </w:t>
      </w:r>
    </w:p>
    <w:p w:rsidR="00AE4ED3" w:rsidRPr="005107F1" w:rsidRDefault="00D805BD" w:rsidP="00F9173B">
      <w:pPr>
        <w:spacing w:after="0" w:line="240" w:lineRule="auto"/>
        <w:ind w:left="0" w:firstLine="0"/>
        <w:rPr>
          <w:color w:val="auto"/>
          <w:lang w:eastAsia="en-US"/>
        </w:rPr>
      </w:pPr>
    </w:p>
    <w:p w:rsidR="00AE4ED3" w:rsidRPr="005107F1" w:rsidRDefault="00A34E18" w:rsidP="00F9173B">
      <w:pPr>
        <w:spacing w:after="0" w:line="240" w:lineRule="auto"/>
        <w:ind w:left="0" w:firstLine="0"/>
        <w:rPr>
          <w:color w:val="auto"/>
          <w:lang w:eastAsia="en-US"/>
        </w:rPr>
      </w:pPr>
      <w:r w:rsidRPr="005107F1">
        <w:rPr>
          <w:color w:val="auto"/>
          <w:lang w:eastAsia="en-US"/>
        </w:rPr>
        <w:t>Burnley Borough Council</w:t>
      </w:r>
      <w:r>
        <w:rPr>
          <w:color w:val="auto"/>
          <w:lang w:eastAsia="en-US"/>
        </w:rPr>
        <w:t xml:space="preserve"> and its partners</w:t>
      </w:r>
      <w:r w:rsidRPr="005107F1">
        <w:rPr>
          <w:color w:val="auto"/>
          <w:lang w:eastAsia="en-US"/>
        </w:rPr>
        <w:t xml:space="preserve"> </w:t>
      </w:r>
      <w:r>
        <w:rPr>
          <w:color w:val="auto"/>
          <w:lang w:eastAsia="en-US"/>
        </w:rPr>
        <w:t xml:space="preserve">wish to proceed with a revised albeit smaller scheme, which focuses on enabling delivery of the housing and public realm elements of the scheme, for which they have </w:t>
      </w:r>
      <w:r w:rsidRPr="005107F1">
        <w:rPr>
          <w:color w:val="auto"/>
          <w:lang w:eastAsia="en-US"/>
        </w:rPr>
        <w:t xml:space="preserve">submitted an </w:t>
      </w:r>
      <w:r>
        <w:rPr>
          <w:color w:val="auto"/>
          <w:lang w:eastAsia="en-US"/>
        </w:rPr>
        <w:t>Add</w:t>
      </w:r>
      <w:r w:rsidRPr="005107F1">
        <w:rPr>
          <w:color w:val="auto"/>
          <w:lang w:eastAsia="en-US"/>
        </w:rPr>
        <w:t xml:space="preserve">endum to the Business Case </w:t>
      </w:r>
      <w:r>
        <w:rPr>
          <w:color w:val="auto"/>
          <w:lang w:eastAsia="en-US"/>
        </w:rPr>
        <w:t xml:space="preserve">which was </w:t>
      </w:r>
      <w:r w:rsidRPr="005107F1">
        <w:rPr>
          <w:color w:val="auto"/>
          <w:lang w:eastAsia="en-US"/>
        </w:rPr>
        <w:t>presented to the G</w:t>
      </w:r>
      <w:r>
        <w:rPr>
          <w:color w:val="auto"/>
          <w:lang w:eastAsia="en-US"/>
        </w:rPr>
        <w:t xml:space="preserve">rowth </w:t>
      </w:r>
      <w:r w:rsidRPr="005107F1">
        <w:rPr>
          <w:color w:val="auto"/>
          <w:lang w:eastAsia="en-US"/>
        </w:rPr>
        <w:t>D</w:t>
      </w:r>
      <w:r>
        <w:rPr>
          <w:color w:val="auto"/>
          <w:lang w:eastAsia="en-US"/>
        </w:rPr>
        <w:t xml:space="preserve">eal </w:t>
      </w:r>
      <w:r w:rsidRPr="005107F1">
        <w:rPr>
          <w:color w:val="auto"/>
          <w:lang w:eastAsia="en-US"/>
        </w:rPr>
        <w:t>M</w:t>
      </w:r>
      <w:r>
        <w:rPr>
          <w:color w:val="auto"/>
          <w:lang w:eastAsia="en-US"/>
        </w:rPr>
        <w:t xml:space="preserve">anagement </w:t>
      </w:r>
      <w:r w:rsidRPr="005107F1">
        <w:rPr>
          <w:color w:val="auto"/>
          <w:lang w:eastAsia="en-US"/>
        </w:rPr>
        <w:t>B</w:t>
      </w:r>
      <w:r>
        <w:rPr>
          <w:color w:val="auto"/>
          <w:lang w:eastAsia="en-US"/>
        </w:rPr>
        <w:t>oard in December</w:t>
      </w:r>
      <w:r w:rsidRPr="005107F1">
        <w:rPr>
          <w:color w:val="auto"/>
          <w:lang w:eastAsia="en-US"/>
        </w:rPr>
        <w:t xml:space="preserve">. The </w:t>
      </w:r>
      <w:r>
        <w:rPr>
          <w:color w:val="auto"/>
          <w:lang w:eastAsia="en-US"/>
        </w:rPr>
        <w:t>Add</w:t>
      </w:r>
      <w:r w:rsidRPr="005107F1">
        <w:rPr>
          <w:color w:val="auto"/>
          <w:lang w:eastAsia="en-US"/>
        </w:rPr>
        <w:t xml:space="preserve">endum includes an update to each of the five business plan </w:t>
      </w:r>
      <w:r>
        <w:rPr>
          <w:color w:val="auto"/>
          <w:lang w:eastAsia="en-US"/>
        </w:rPr>
        <w:t>tests required by the LEP's Assurance Framework</w:t>
      </w:r>
      <w:r w:rsidRPr="005107F1">
        <w:rPr>
          <w:color w:val="auto"/>
          <w:lang w:eastAsia="en-US"/>
        </w:rPr>
        <w:t xml:space="preserve">, removing all references to the proposed </w:t>
      </w:r>
      <w:r>
        <w:rPr>
          <w:color w:val="auto"/>
          <w:lang w:eastAsia="en-US"/>
        </w:rPr>
        <w:t xml:space="preserve">junction </w:t>
      </w:r>
      <w:r w:rsidRPr="005107F1">
        <w:rPr>
          <w:color w:val="auto"/>
          <w:lang w:eastAsia="en-US"/>
        </w:rPr>
        <w:t>works and associated benefits at the Shu</w:t>
      </w:r>
      <w:r>
        <w:rPr>
          <w:color w:val="auto"/>
          <w:lang w:eastAsia="en-US"/>
        </w:rPr>
        <w:t>t</w:t>
      </w:r>
      <w:r w:rsidRPr="005107F1">
        <w:rPr>
          <w:color w:val="auto"/>
          <w:lang w:eastAsia="en-US"/>
        </w:rPr>
        <w:t>tleworth Mead</w:t>
      </w:r>
      <w:r>
        <w:rPr>
          <w:color w:val="auto"/>
          <w:lang w:eastAsia="en-US"/>
        </w:rPr>
        <w:t>e</w:t>
      </w:r>
      <w:r w:rsidRPr="005107F1">
        <w:rPr>
          <w:color w:val="auto"/>
          <w:lang w:eastAsia="en-US"/>
        </w:rPr>
        <w:t xml:space="preserve"> Site.</w:t>
      </w:r>
    </w:p>
    <w:p w:rsidR="00930E3B" w:rsidRDefault="00A34E18" w:rsidP="00F9173B">
      <w:pPr>
        <w:spacing w:after="0" w:line="240" w:lineRule="auto"/>
        <w:ind w:left="0" w:firstLine="0"/>
        <w:rPr>
          <w:color w:val="auto"/>
          <w:lang w:eastAsia="en-US"/>
        </w:rPr>
      </w:pPr>
      <w:r w:rsidRPr="005107F1">
        <w:rPr>
          <w:color w:val="auto"/>
          <w:lang w:eastAsia="en-US"/>
        </w:rPr>
        <w:lastRenderedPageBreak/>
        <w:t>Genecon Consulting Ltd</w:t>
      </w:r>
      <w:r>
        <w:rPr>
          <w:color w:val="auto"/>
          <w:lang w:eastAsia="en-US"/>
        </w:rPr>
        <w:t>, who completed the independent appraisal of the original business case, have completed a</w:t>
      </w:r>
      <w:r w:rsidRPr="005107F1">
        <w:rPr>
          <w:color w:val="auto"/>
          <w:lang w:eastAsia="en-US"/>
        </w:rPr>
        <w:t xml:space="preserve"> further </w:t>
      </w:r>
      <w:r>
        <w:rPr>
          <w:color w:val="auto"/>
          <w:lang w:eastAsia="en-US"/>
        </w:rPr>
        <w:t xml:space="preserve">independent </w:t>
      </w:r>
      <w:r w:rsidRPr="005107F1">
        <w:rPr>
          <w:color w:val="auto"/>
          <w:lang w:eastAsia="en-US"/>
        </w:rPr>
        <w:t xml:space="preserve">appraisal of the </w:t>
      </w:r>
      <w:r>
        <w:rPr>
          <w:color w:val="auto"/>
          <w:lang w:eastAsia="en-US"/>
        </w:rPr>
        <w:t>Addendum. This was presented to the Growth Deal Management Board for consideration at its March meeting.</w:t>
      </w:r>
    </w:p>
    <w:p w:rsidR="00930E3B" w:rsidRDefault="00D805BD" w:rsidP="00F9173B">
      <w:pPr>
        <w:spacing w:after="0" w:line="240" w:lineRule="auto"/>
        <w:ind w:left="0" w:firstLine="0"/>
        <w:rPr>
          <w:color w:val="auto"/>
          <w:lang w:eastAsia="en-US"/>
        </w:rPr>
      </w:pPr>
    </w:p>
    <w:p w:rsidR="00AE4ED3" w:rsidRDefault="00A34E18" w:rsidP="00F9173B">
      <w:pPr>
        <w:spacing w:after="0" w:line="240" w:lineRule="auto"/>
        <w:ind w:left="0" w:firstLine="0"/>
        <w:rPr>
          <w:color w:val="auto"/>
          <w:lang w:eastAsia="en-US"/>
        </w:rPr>
      </w:pPr>
      <w:r>
        <w:rPr>
          <w:color w:val="auto"/>
          <w:lang w:eastAsia="en-US"/>
        </w:rPr>
        <w:t xml:space="preserve">The appraisal of the Addendum concludes that whilst the benefit cost ratio has reduced from </w:t>
      </w:r>
      <w:r w:rsidRPr="00CC2F03">
        <w:rPr>
          <w:color w:val="auto"/>
          <w:lang w:eastAsia="en-US"/>
        </w:rPr>
        <w:t>5.8 to 2.4,</w:t>
      </w:r>
      <w:r>
        <w:rPr>
          <w:color w:val="auto"/>
          <w:lang w:eastAsia="en-US"/>
        </w:rPr>
        <w:t xml:space="preserve"> this still represents an 'acceptable BCR figure that demonstrates the potential for the LEP to achieve a return on its investment'. The scheme is therefore considered to provide value for money in line with the LEP's Assurance Framework, through its delivery of almost 250 new homes and improved vitality and attractiveness to investors of Padiham Town Centre. Genecon's appraisal report is available on request.</w:t>
      </w:r>
    </w:p>
    <w:p w:rsidR="00930E3B" w:rsidRDefault="00D805BD" w:rsidP="00F9173B">
      <w:pPr>
        <w:spacing w:after="0" w:line="240" w:lineRule="auto"/>
        <w:ind w:left="0" w:firstLine="0"/>
        <w:rPr>
          <w:color w:val="auto"/>
          <w:lang w:eastAsia="en-US"/>
        </w:rPr>
      </w:pPr>
    </w:p>
    <w:p w:rsidR="00930E3B" w:rsidRDefault="00A34E18" w:rsidP="00F9173B">
      <w:pPr>
        <w:spacing w:after="0" w:line="240" w:lineRule="auto"/>
        <w:ind w:left="0" w:firstLine="0"/>
        <w:rPr>
          <w:bCs/>
          <w:color w:val="auto"/>
        </w:rPr>
      </w:pPr>
      <w:r>
        <w:rPr>
          <w:bCs/>
          <w:color w:val="auto"/>
        </w:rPr>
        <w:t>On this basis, t</w:t>
      </w:r>
      <w:r w:rsidRPr="0008742C">
        <w:rPr>
          <w:bCs/>
          <w:color w:val="auto"/>
        </w:rPr>
        <w:t>he G</w:t>
      </w:r>
      <w:r>
        <w:rPr>
          <w:bCs/>
          <w:color w:val="auto"/>
        </w:rPr>
        <w:t>rowth Deal Management Board</w:t>
      </w:r>
      <w:r w:rsidRPr="0008742C">
        <w:rPr>
          <w:bCs/>
          <w:color w:val="auto"/>
        </w:rPr>
        <w:t xml:space="preserve"> </w:t>
      </w:r>
      <w:r>
        <w:rPr>
          <w:bCs/>
          <w:color w:val="auto"/>
        </w:rPr>
        <w:t>recommended that the LEP Board, at its meeting in April, approve a maximum funding allocation of £4.9m to the North West Burnley Growth Corridor scheme subject to a number of conditions agreed by the Growth Deal Management Board and contained within the independent appraisal reports.</w:t>
      </w:r>
    </w:p>
    <w:p w:rsidR="00930E3B" w:rsidRDefault="00D805BD" w:rsidP="00F9173B">
      <w:pPr>
        <w:spacing w:after="0" w:line="240" w:lineRule="auto"/>
        <w:ind w:left="0" w:firstLine="0"/>
        <w:rPr>
          <w:bCs/>
          <w:color w:val="auto"/>
        </w:rPr>
      </w:pPr>
    </w:p>
    <w:p w:rsidR="00930E3B" w:rsidRDefault="00A34E18" w:rsidP="00F9173B">
      <w:pPr>
        <w:spacing w:after="0" w:line="240" w:lineRule="auto"/>
        <w:ind w:left="0" w:firstLine="0"/>
        <w:rPr>
          <w:bCs/>
          <w:color w:val="auto"/>
        </w:rPr>
      </w:pPr>
      <w:r>
        <w:rPr>
          <w:bCs/>
          <w:color w:val="auto"/>
        </w:rPr>
        <w:t>The Growth Deal Management Board also recommended that the £2.1m of the original £7m allocation is retained for a period of four months, by which time the Local Plan Inspector will have made their final decision and issued a report.</w:t>
      </w:r>
    </w:p>
    <w:p w:rsidR="00CC2F03" w:rsidRDefault="00D805BD" w:rsidP="00F9173B">
      <w:pPr>
        <w:spacing w:after="0" w:line="240" w:lineRule="auto"/>
        <w:ind w:left="0" w:firstLine="0"/>
        <w:rPr>
          <w:bCs/>
          <w:color w:val="auto"/>
        </w:rPr>
      </w:pPr>
    </w:p>
    <w:p w:rsidR="004F5AC3" w:rsidRDefault="00A34E18" w:rsidP="00F9173B">
      <w:pPr>
        <w:spacing w:after="0" w:line="240" w:lineRule="auto"/>
        <w:ind w:left="0" w:firstLine="0"/>
        <w:rPr>
          <w:bCs/>
          <w:color w:val="auto"/>
        </w:rPr>
      </w:pPr>
      <w:r>
        <w:rPr>
          <w:bCs/>
          <w:color w:val="auto"/>
        </w:rPr>
        <w:t xml:space="preserve">Should the £2.1m not be required for the scheme, it will be subject to the LEP's approval process for redistributing any unallocated funds within the Growth Deal programme. </w:t>
      </w:r>
    </w:p>
    <w:p w:rsidR="00AE4ED3" w:rsidRPr="00577981" w:rsidRDefault="00D805BD" w:rsidP="00F9173B">
      <w:pPr>
        <w:spacing w:after="0" w:line="240" w:lineRule="auto"/>
        <w:rPr>
          <w:b/>
          <w:bCs/>
          <w:u w:val="single"/>
        </w:rPr>
      </w:pPr>
    </w:p>
    <w:p w:rsidR="00AE4ED3" w:rsidRDefault="00A34E18" w:rsidP="00F9173B">
      <w:pPr>
        <w:spacing w:after="0" w:line="256" w:lineRule="auto"/>
        <w:ind w:left="0" w:firstLine="0"/>
        <w:rPr>
          <w:b/>
          <w:bCs/>
        </w:rPr>
      </w:pPr>
      <w:r>
        <w:rPr>
          <w:b/>
          <w:bCs/>
        </w:rPr>
        <w:t xml:space="preserve">Growth Deal Unallocated Funding Approval Process </w:t>
      </w:r>
    </w:p>
    <w:p w:rsidR="000F3BB9" w:rsidRDefault="00D805BD" w:rsidP="00F9173B">
      <w:pPr>
        <w:spacing w:after="0" w:line="256" w:lineRule="auto"/>
        <w:ind w:left="0" w:firstLine="0"/>
        <w:rPr>
          <w:b/>
          <w:bCs/>
        </w:rPr>
      </w:pPr>
    </w:p>
    <w:p w:rsidR="000F3BB9" w:rsidRDefault="00A34E18" w:rsidP="00F9173B">
      <w:pPr>
        <w:ind w:left="0" w:firstLine="0"/>
      </w:pPr>
      <w:r>
        <w:t>At the December meeting of the Growth Deal Management Board, the Board considered and agreed a process to redistribute any unallocated funding within the Growth Deal programme. The agreed approach is set out below:</w:t>
      </w:r>
    </w:p>
    <w:p w:rsidR="000F3BB9" w:rsidRDefault="00D805BD" w:rsidP="00F9173B">
      <w:pPr>
        <w:ind w:left="0" w:firstLine="0"/>
      </w:pPr>
    </w:p>
    <w:p w:rsidR="000F3BB9" w:rsidRDefault="00A34E18" w:rsidP="00F9173B">
      <w:pPr>
        <w:pStyle w:val="ListParagraph"/>
        <w:numPr>
          <w:ilvl w:val="0"/>
          <w:numId w:val="8"/>
        </w:numPr>
        <w:spacing w:after="0" w:line="240" w:lineRule="auto"/>
      </w:pPr>
      <w:r>
        <w:t>First call would be given to those schemes within the current programme that had requested additional resource;</w:t>
      </w:r>
    </w:p>
    <w:p w:rsidR="000F3BB9" w:rsidRDefault="00A34E18" w:rsidP="00F9173B">
      <w:pPr>
        <w:pStyle w:val="ListParagraph"/>
        <w:numPr>
          <w:ilvl w:val="0"/>
          <w:numId w:val="8"/>
        </w:numPr>
        <w:spacing w:after="0" w:line="240" w:lineRule="auto"/>
      </w:pPr>
      <w:r>
        <w:t>If no schemes were identified via that process, a second call would focus on priority 1 Growth Deal 3 schemes that had failed to secure an allocation;</w:t>
      </w:r>
    </w:p>
    <w:p w:rsidR="000F3BB9" w:rsidRDefault="00A34E18" w:rsidP="00F9173B">
      <w:pPr>
        <w:pStyle w:val="ListParagraph"/>
        <w:numPr>
          <w:ilvl w:val="0"/>
          <w:numId w:val="8"/>
        </w:numPr>
        <w:spacing w:after="0" w:line="240" w:lineRule="auto"/>
      </w:pPr>
      <w:r>
        <w:t>If no schemes were identified via that process, a review of priority 2 and 3 Growth Deal 3 schemes would be undertaken to determine if any schemes were still a priority; and</w:t>
      </w:r>
    </w:p>
    <w:p w:rsidR="000F3BB9" w:rsidRDefault="00A34E18" w:rsidP="00F9173B">
      <w:pPr>
        <w:pStyle w:val="ListParagraph"/>
        <w:numPr>
          <w:ilvl w:val="0"/>
          <w:numId w:val="8"/>
        </w:numPr>
        <w:spacing w:after="0" w:line="240" w:lineRule="auto"/>
      </w:pPr>
      <w:r>
        <w:t>After exhausting the programme, LEP Board approval would be sought for an open call for new scheme proposals.</w:t>
      </w:r>
    </w:p>
    <w:p w:rsidR="000F3BB9" w:rsidRDefault="00D805BD" w:rsidP="00F9173B">
      <w:pPr>
        <w:spacing w:after="0" w:line="256" w:lineRule="auto"/>
        <w:ind w:left="0" w:firstLine="0"/>
        <w:rPr>
          <w:b/>
          <w:bCs/>
        </w:rPr>
      </w:pPr>
    </w:p>
    <w:p w:rsidR="00ED2447" w:rsidRDefault="00A34E18" w:rsidP="00F9173B">
      <w:pPr>
        <w:spacing w:after="0" w:line="256" w:lineRule="auto"/>
        <w:ind w:left="0" w:firstLine="0"/>
        <w:rPr>
          <w:bCs/>
        </w:rPr>
      </w:pPr>
      <w:r w:rsidRPr="000F3BB9">
        <w:rPr>
          <w:bCs/>
        </w:rPr>
        <w:t>However, at the January meeting of the Bo</w:t>
      </w:r>
      <w:r>
        <w:rPr>
          <w:bCs/>
        </w:rPr>
        <w:t>a</w:t>
      </w:r>
      <w:r w:rsidRPr="000F3BB9">
        <w:rPr>
          <w:bCs/>
        </w:rPr>
        <w:t>rd</w:t>
      </w:r>
      <w:r>
        <w:rPr>
          <w:bCs/>
        </w:rPr>
        <w:t xml:space="preserve"> when this matter was presented, it was requested that this process be amended to reflect those Growth Deal 3 schemes ranked the highest and to not only focus on Priority 1 Growth Deal schemes. As a result, point 2 above has been amended as below to reflect this:</w:t>
      </w:r>
    </w:p>
    <w:p w:rsidR="000F3BB9" w:rsidRDefault="00D805BD" w:rsidP="00F9173B">
      <w:pPr>
        <w:spacing w:after="0" w:line="256" w:lineRule="auto"/>
        <w:ind w:left="0" w:firstLine="0"/>
        <w:rPr>
          <w:bCs/>
        </w:rPr>
      </w:pPr>
    </w:p>
    <w:p w:rsidR="000F3BB9" w:rsidRPr="000F3BB9" w:rsidRDefault="00A34E18" w:rsidP="00F9173B">
      <w:pPr>
        <w:spacing w:after="0" w:line="256" w:lineRule="auto"/>
        <w:ind w:left="0" w:firstLine="0"/>
        <w:rPr>
          <w:bCs/>
          <w:i/>
        </w:rPr>
      </w:pPr>
      <w:r w:rsidRPr="000F3BB9">
        <w:rPr>
          <w:i/>
        </w:rPr>
        <w:lastRenderedPageBreak/>
        <w:t xml:space="preserve">If no schemes were identified via that process, a second call </w:t>
      </w:r>
      <w:r>
        <w:rPr>
          <w:i/>
        </w:rPr>
        <w:t>would</w:t>
      </w:r>
      <w:r w:rsidRPr="000F3BB9">
        <w:rPr>
          <w:i/>
        </w:rPr>
        <w:t xml:space="preserve"> focus on Growth Deal 3 schemes which were ranked highest, both in terms of deliverability and economic impact, that had failed to secure an allocation</w:t>
      </w:r>
      <w:r>
        <w:rPr>
          <w:i/>
        </w:rPr>
        <w:t>.</w:t>
      </w:r>
    </w:p>
    <w:p w:rsidR="000F3BB9" w:rsidRDefault="00D805BD" w:rsidP="00F9173B">
      <w:pPr>
        <w:spacing w:after="0" w:line="256" w:lineRule="auto"/>
        <w:ind w:left="0" w:firstLine="0"/>
        <w:rPr>
          <w:bCs/>
        </w:rPr>
      </w:pPr>
    </w:p>
    <w:p w:rsidR="000F3BB9" w:rsidRDefault="00A34E18" w:rsidP="00F9173B">
      <w:pPr>
        <w:spacing w:after="0" w:line="256" w:lineRule="auto"/>
        <w:ind w:left="0" w:firstLine="0"/>
        <w:rPr>
          <w:bCs/>
        </w:rPr>
      </w:pPr>
      <w:r>
        <w:rPr>
          <w:bCs/>
        </w:rPr>
        <w:t>Steps 1, 3 and 4 of the original approval process remain unchanged.</w:t>
      </w:r>
    </w:p>
    <w:p w:rsidR="00032BEE" w:rsidRDefault="00D805BD" w:rsidP="00F9173B">
      <w:pPr>
        <w:spacing w:after="0" w:line="256" w:lineRule="auto"/>
        <w:ind w:left="0" w:firstLine="0"/>
        <w:rPr>
          <w:bCs/>
        </w:rPr>
      </w:pPr>
    </w:p>
    <w:p w:rsidR="00032BEE" w:rsidRPr="00BE375B" w:rsidRDefault="00A34E18" w:rsidP="00F9173B">
      <w:pPr>
        <w:spacing w:after="0" w:line="256" w:lineRule="auto"/>
        <w:ind w:left="0" w:firstLine="0"/>
        <w:rPr>
          <w:b/>
          <w:bCs/>
        </w:rPr>
      </w:pPr>
      <w:r w:rsidRPr="00BE375B">
        <w:rPr>
          <w:b/>
          <w:bCs/>
        </w:rPr>
        <w:t>Growth Deal Programme Performance Update</w:t>
      </w:r>
    </w:p>
    <w:p w:rsidR="00032BEE" w:rsidRDefault="00D805BD" w:rsidP="00F9173B">
      <w:pPr>
        <w:spacing w:after="0" w:line="256" w:lineRule="auto"/>
        <w:ind w:left="0" w:firstLine="0"/>
        <w:rPr>
          <w:bCs/>
        </w:rPr>
      </w:pPr>
    </w:p>
    <w:p w:rsidR="00DD62D6" w:rsidRDefault="00A34E18" w:rsidP="00F9173B">
      <w:pPr>
        <w:spacing w:after="0" w:line="240" w:lineRule="auto"/>
        <w:ind w:left="0" w:firstLine="0"/>
        <w:rPr>
          <w:rFonts w:eastAsiaTheme="minorHAnsi"/>
          <w:color w:val="auto"/>
          <w:lang w:eastAsia="en-US"/>
        </w:rPr>
      </w:pPr>
      <w:r>
        <w:rPr>
          <w:rFonts w:eastAsiaTheme="minorHAnsi"/>
          <w:color w:val="auto"/>
          <w:lang w:eastAsia="en-US"/>
        </w:rPr>
        <w:t xml:space="preserve">The £320m Growth Deal programme </w:t>
      </w:r>
      <w:r w:rsidRPr="00577981">
        <w:rPr>
          <w:rFonts w:eastAsiaTheme="minorHAnsi"/>
          <w:color w:val="auto"/>
          <w:lang w:eastAsia="en-US"/>
        </w:rPr>
        <w:t xml:space="preserve">is delivering in accordance with Lancashire's </w:t>
      </w:r>
      <w:r>
        <w:rPr>
          <w:rFonts w:eastAsiaTheme="minorHAnsi"/>
          <w:color w:val="auto"/>
          <w:lang w:eastAsia="en-US"/>
        </w:rPr>
        <w:t xml:space="preserve">agreed </w:t>
      </w:r>
      <w:r w:rsidRPr="00577981">
        <w:rPr>
          <w:rFonts w:eastAsiaTheme="minorHAnsi"/>
          <w:color w:val="auto"/>
          <w:lang w:eastAsia="en-US"/>
        </w:rPr>
        <w:t>Growth Deal milestones and Government's reporting requirements</w:t>
      </w:r>
      <w:r>
        <w:rPr>
          <w:rFonts w:eastAsiaTheme="minorHAnsi"/>
          <w:color w:val="auto"/>
          <w:lang w:eastAsia="en-US"/>
        </w:rPr>
        <w:t>, with no queries having</w:t>
      </w:r>
      <w:r w:rsidRPr="00577981">
        <w:rPr>
          <w:rFonts w:eastAsiaTheme="minorHAnsi"/>
          <w:color w:val="auto"/>
          <w:lang w:eastAsia="en-US"/>
        </w:rPr>
        <w:t xml:space="preserve"> been raised in relation to the last claim submitted to Government in </w:t>
      </w:r>
      <w:r>
        <w:rPr>
          <w:rFonts w:eastAsiaTheme="minorHAnsi"/>
          <w:color w:val="auto"/>
          <w:lang w:eastAsia="en-US"/>
        </w:rPr>
        <w:t xml:space="preserve">February </w:t>
      </w:r>
      <w:r w:rsidRPr="00577981">
        <w:rPr>
          <w:rFonts w:eastAsiaTheme="minorHAnsi"/>
          <w:color w:val="auto"/>
          <w:lang w:eastAsia="en-US"/>
        </w:rPr>
        <w:t>201</w:t>
      </w:r>
      <w:r>
        <w:rPr>
          <w:rFonts w:eastAsiaTheme="minorHAnsi"/>
          <w:color w:val="auto"/>
          <w:lang w:eastAsia="en-US"/>
        </w:rPr>
        <w:t>8</w:t>
      </w:r>
      <w:r w:rsidRPr="00577981">
        <w:rPr>
          <w:rFonts w:eastAsiaTheme="minorHAnsi"/>
          <w:color w:val="auto"/>
          <w:lang w:eastAsia="en-US"/>
        </w:rPr>
        <w:t xml:space="preserve">. </w:t>
      </w:r>
    </w:p>
    <w:p w:rsidR="00251FD8" w:rsidRPr="00577981" w:rsidRDefault="00D805BD" w:rsidP="00F9173B">
      <w:pPr>
        <w:spacing w:after="0" w:line="240" w:lineRule="auto"/>
        <w:ind w:left="0" w:firstLine="0"/>
        <w:rPr>
          <w:rFonts w:eastAsiaTheme="minorHAnsi"/>
          <w:color w:val="auto"/>
          <w:lang w:eastAsia="en-US"/>
        </w:rPr>
      </w:pPr>
    </w:p>
    <w:p w:rsidR="00DD62D6" w:rsidRDefault="00A34E18" w:rsidP="00F9173B">
      <w:pPr>
        <w:spacing w:after="0" w:line="240" w:lineRule="auto"/>
        <w:ind w:left="0" w:firstLine="0"/>
        <w:rPr>
          <w:rFonts w:eastAsiaTheme="minorHAnsi"/>
          <w:color w:val="auto"/>
          <w:lang w:eastAsia="en-US"/>
        </w:rPr>
      </w:pPr>
      <w:r w:rsidRPr="00577981">
        <w:rPr>
          <w:rFonts w:eastAsiaTheme="minorHAnsi"/>
          <w:color w:val="auto"/>
          <w:lang w:eastAsia="en-US"/>
        </w:rPr>
        <w:t xml:space="preserve">In terms of </w:t>
      </w:r>
      <w:r>
        <w:rPr>
          <w:rFonts w:eastAsiaTheme="minorHAnsi"/>
          <w:color w:val="auto"/>
          <w:lang w:eastAsia="en-US"/>
        </w:rPr>
        <w:t>the programme, 100</w:t>
      </w:r>
      <w:r w:rsidRPr="00577981">
        <w:rPr>
          <w:rFonts w:eastAsiaTheme="minorHAnsi"/>
          <w:color w:val="auto"/>
          <w:lang w:eastAsia="en-US"/>
        </w:rPr>
        <w:t xml:space="preserve">% of </w:t>
      </w:r>
      <w:r>
        <w:rPr>
          <w:rFonts w:eastAsiaTheme="minorHAnsi"/>
          <w:color w:val="auto"/>
          <w:lang w:eastAsia="en-US"/>
        </w:rPr>
        <w:t>funds have been allocated and</w:t>
      </w:r>
      <w:r w:rsidRPr="00577981">
        <w:rPr>
          <w:rFonts w:eastAsiaTheme="minorHAnsi"/>
          <w:color w:val="auto"/>
          <w:lang w:eastAsia="en-US"/>
        </w:rPr>
        <w:t xml:space="preserve"> </w:t>
      </w:r>
      <w:r>
        <w:rPr>
          <w:rFonts w:eastAsiaTheme="minorHAnsi"/>
          <w:color w:val="auto"/>
          <w:lang w:eastAsia="en-US"/>
        </w:rPr>
        <w:t>81</w:t>
      </w:r>
      <w:r w:rsidRPr="00577981">
        <w:rPr>
          <w:rFonts w:eastAsiaTheme="minorHAnsi"/>
          <w:color w:val="auto"/>
          <w:lang w:eastAsia="en-US"/>
        </w:rPr>
        <w:t xml:space="preserve">% of </w:t>
      </w:r>
      <w:r>
        <w:rPr>
          <w:rFonts w:eastAsiaTheme="minorHAnsi"/>
          <w:color w:val="auto"/>
          <w:lang w:eastAsia="en-US"/>
        </w:rPr>
        <w:t>schemes</w:t>
      </w:r>
      <w:r w:rsidRPr="00577981">
        <w:rPr>
          <w:rFonts w:eastAsiaTheme="minorHAnsi"/>
          <w:color w:val="auto"/>
          <w:lang w:eastAsia="en-US"/>
        </w:rPr>
        <w:t xml:space="preserve"> </w:t>
      </w:r>
      <w:r>
        <w:rPr>
          <w:rFonts w:eastAsiaTheme="minorHAnsi"/>
          <w:color w:val="auto"/>
          <w:lang w:eastAsia="en-US"/>
        </w:rPr>
        <w:t xml:space="preserve">within the programme have now </w:t>
      </w:r>
      <w:r w:rsidRPr="00577981">
        <w:rPr>
          <w:rFonts w:eastAsiaTheme="minorHAnsi"/>
          <w:color w:val="auto"/>
          <w:lang w:eastAsia="en-US"/>
        </w:rPr>
        <w:t xml:space="preserve">received a LEP funding approval. </w:t>
      </w:r>
      <w:r>
        <w:rPr>
          <w:rFonts w:eastAsiaTheme="minorHAnsi"/>
          <w:color w:val="auto"/>
          <w:lang w:eastAsia="en-US"/>
        </w:rPr>
        <w:t>This equates to 36 out of the 44 schemes within the programme. Of the 36 schemes which have a funding approval, 34 have completed contracting. The remaining 8 schemes are on track to progress in line with agreed timescales.</w:t>
      </w:r>
    </w:p>
    <w:p w:rsidR="00B27D06" w:rsidRDefault="00D805BD" w:rsidP="00F9173B">
      <w:pPr>
        <w:spacing w:after="0" w:line="240" w:lineRule="auto"/>
        <w:ind w:left="0" w:firstLine="0"/>
        <w:rPr>
          <w:rFonts w:eastAsiaTheme="minorHAnsi"/>
          <w:color w:val="auto"/>
          <w:lang w:eastAsia="en-US"/>
        </w:rPr>
      </w:pPr>
    </w:p>
    <w:p w:rsidR="00B27D06" w:rsidRPr="00B27D06" w:rsidRDefault="00A34E18" w:rsidP="00F9173B">
      <w:pPr>
        <w:spacing w:after="0" w:line="240" w:lineRule="auto"/>
        <w:ind w:left="0" w:firstLine="0"/>
        <w:rPr>
          <w:rFonts w:eastAsiaTheme="minorHAnsi"/>
          <w:b/>
          <w:color w:val="auto"/>
          <w:lang w:eastAsia="en-US"/>
        </w:rPr>
      </w:pPr>
      <w:r w:rsidRPr="00B27D06">
        <w:rPr>
          <w:rFonts w:eastAsiaTheme="minorHAnsi"/>
          <w:b/>
          <w:color w:val="auto"/>
          <w:lang w:eastAsia="en-US"/>
        </w:rPr>
        <w:t>Growth Deal Claim Process</w:t>
      </w:r>
    </w:p>
    <w:p w:rsidR="00251FD8" w:rsidRDefault="00D805BD" w:rsidP="00F9173B">
      <w:pPr>
        <w:spacing w:after="0" w:line="240" w:lineRule="auto"/>
        <w:ind w:left="0" w:firstLine="0"/>
        <w:rPr>
          <w:rFonts w:eastAsiaTheme="minorHAnsi"/>
          <w:color w:val="auto"/>
          <w:lang w:eastAsia="en-US"/>
        </w:rPr>
      </w:pPr>
    </w:p>
    <w:p w:rsidR="00B27D06" w:rsidRPr="00B27D06" w:rsidRDefault="00A34E18" w:rsidP="00B27D06">
      <w:pPr>
        <w:ind w:left="0" w:firstLine="0"/>
        <w:rPr>
          <w:rFonts w:ascii="Calibri" w:eastAsiaTheme="minorHAnsi" w:hAnsi="Calibri" w:cs="Times New Roman"/>
          <w:bCs/>
          <w:iCs/>
          <w:color w:val="auto"/>
          <w:sz w:val="22"/>
          <w:szCs w:val="22"/>
        </w:rPr>
      </w:pPr>
      <w:r w:rsidRPr="00B27D06">
        <w:rPr>
          <w:bCs/>
          <w:iCs/>
        </w:rPr>
        <w:t>As part of the governance arrangements for the delivery of the Growth Deal programme, La</w:t>
      </w:r>
      <w:r>
        <w:rPr>
          <w:bCs/>
          <w:iCs/>
        </w:rPr>
        <w:t>ncashire County Council in its</w:t>
      </w:r>
      <w:r w:rsidRPr="00B27D06">
        <w:rPr>
          <w:bCs/>
          <w:iCs/>
        </w:rPr>
        <w:t xml:space="preserve"> </w:t>
      </w:r>
      <w:r>
        <w:rPr>
          <w:bCs/>
          <w:iCs/>
        </w:rPr>
        <w:t xml:space="preserve">role as </w:t>
      </w:r>
      <w:r w:rsidRPr="00B27D06">
        <w:rPr>
          <w:bCs/>
          <w:iCs/>
        </w:rPr>
        <w:t>Accountable Body for the Growth Deal programme</w:t>
      </w:r>
      <w:r>
        <w:rPr>
          <w:bCs/>
          <w:iCs/>
        </w:rPr>
        <w:t>, is r</w:t>
      </w:r>
      <w:r w:rsidRPr="00B27D06">
        <w:rPr>
          <w:bCs/>
          <w:iCs/>
        </w:rPr>
        <w:t xml:space="preserve">equired to provide cumulative reporting on the delivery of the Growth Deal programme to the Cities and Local Growth Unit on a quarterly basis. </w:t>
      </w:r>
      <w:r>
        <w:rPr>
          <w:bCs/>
          <w:iCs/>
        </w:rPr>
        <w:t>This q</w:t>
      </w:r>
      <w:r w:rsidRPr="00B27D06">
        <w:rPr>
          <w:bCs/>
          <w:iCs/>
        </w:rPr>
        <w:t>uarterly reporting includes performance against both financ</w:t>
      </w:r>
      <w:r>
        <w:rPr>
          <w:bCs/>
          <w:iCs/>
        </w:rPr>
        <w:t>ial</w:t>
      </w:r>
      <w:r w:rsidRPr="00B27D06">
        <w:rPr>
          <w:bCs/>
          <w:iCs/>
        </w:rPr>
        <w:t xml:space="preserve"> and output metrics for each scheme within the Growth Deal programme.</w:t>
      </w:r>
    </w:p>
    <w:p w:rsidR="00B27D06" w:rsidRPr="00B27D06" w:rsidRDefault="00D805BD" w:rsidP="00B27D06">
      <w:pPr>
        <w:ind w:left="0" w:firstLine="0"/>
        <w:rPr>
          <w:bCs/>
          <w:iCs/>
        </w:rPr>
      </w:pPr>
    </w:p>
    <w:p w:rsidR="00363CCE" w:rsidRDefault="00A34E18" w:rsidP="00B27D06">
      <w:pPr>
        <w:ind w:left="0" w:firstLine="0"/>
        <w:rPr>
          <w:bCs/>
          <w:iCs/>
        </w:rPr>
      </w:pPr>
      <w:r w:rsidRPr="00B27D06">
        <w:rPr>
          <w:bCs/>
          <w:iCs/>
        </w:rPr>
        <w:t>In October 2017</w:t>
      </w:r>
      <w:r>
        <w:rPr>
          <w:bCs/>
          <w:iCs/>
        </w:rPr>
        <w:t xml:space="preserve">, the Cities and Local Growth Unit </w:t>
      </w:r>
      <w:r w:rsidRPr="00B27D06">
        <w:rPr>
          <w:bCs/>
          <w:iCs/>
        </w:rPr>
        <w:t xml:space="preserve">issued new guidance which included the requirement for Local Enterprise Partnerships </w:t>
      </w:r>
      <w:r>
        <w:rPr>
          <w:bCs/>
          <w:iCs/>
        </w:rPr>
        <w:t xml:space="preserve">and </w:t>
      </w:r>
      <w:r w:rsidRPr="00B27D06">
        <w:rPr>
          <w:bCs/>
          <w:iCs/>
        </w:rPr>
        <w:t>the</w:t>
      </w:r>
      <w:r>
        <w:rPr>
          <w:bCs/>
          <w:iCs/>
        </w:rPr>
        <w:t>ir</w:t>
      </w:r>
      <w:r w:rsidRPr="00B27D06">
        <w:rPr>
          <w:bCs/>
          <w:iCs/>
        </w:rPr>
        <w:t xml:space="preserve"> Accountable Body S151 Officer</w:t>
      </w:r>
      <w:r>
        <w:rPr>
          <w:bCs/>
          <w:iCs/>
        </w:rPr>
        <w:t>s</w:t>
      </w:r>
      <w:r w:rsidRPr="00B27D06">
        <w:rPr>
          <w:bCs/>
          <w:iCs/>
        </w:rPr>
        <w:t xml:space="preserve"> and </w:t>
      </w:r>
      <w:r>
        <w:rPr>
          <w:bCs/>
          <w:iCs/>
        </w:rPr>
        <w:t>t</w:t>
      </w:r>
      <w:r w:rsidRPr="00B27D06">
        <w:rPr>
          <w:bCs/>
          <w:iCs/>
        </w:rPr>
        <w:t xml:space="preserve">o approve the quarterly reporting, prior to </w:t>
      </w:r>
      <w:r>
        <w:rPr>
          <w:bCs/>
          <w:iCs/>
        </w:rPr>
        <w:t xml:space="preserve">its submission </w:t>
      </w:r>
      <w:r w:rsidRPr="00B27D06">
        <w:rPr>
          <w:bCs/>
          <w:iCs/>
        </w:rPr>
        <w:t xml:space="preserve">to </w:t>
      </w:r>
      <w:r>
        <w:rPr>
          <w:bCs/>
          <w:iCs/>
        </w:rPr>
        <w:t>the Cities and Local Growth Unit</w:t>
      </w:r>
      <w:r w:rsidRPr="00B27D06">
        <w:rPr>
          <w:bCs/>
          <w:iCs/>
        </w:rPr>
        <w:t>.  </w:t>
      </w:r>
    </w:p>
    <w:p w:rsidR="00363CCE" w:rsidRDefault="00D805BD" w:rsidP="00B27D06">
      <w:pPr>
        <w:ind w:left="0" w:firstLine="0"/>
        <w:rPr>
          <w:bCs/>
          <w:iCs/>
        </w:rPr>
      </w:pPr>
    </w:p>
    <w:p w:rsidR="00B27D06" w:rsidRPr="00B27D06" w:rsidRDefault="00A34E18" w:rsidP="00B27D06">
      <w:pPr>
        <w:ind w:left="0" w:firstLine="0"/>
        <w:rPr>
          <w:bCs/>
          <w:iCs/>
        </w:rPr>
      </w:pPr>
      <w:r w:rsidRPr="00B27D06">
        <w:rPr>
          <w:bCs/>
          <w:iCs/>
        </w:rPr>
        <w:t xml:space="preserve">As discussed with </w:t>
      </w:r>
      <w:r>
        <w:rPr>
          <w:bCs/>
          <w:iCs/>
        </w:rPr>
        <w:t xml:space="preserve">the Cities and Local Growth Unit, </w:t>
      </w:r>
      <w:r w:rsidRPr="00B27D06">
        <w:rPr>
          <w:bCs/>
          <w:iCs/>
        </w:rPr>
        <w:t>there may</w:t>
      </w:r>
      <w:r>
        <w:rPr>
          <w:bCs/>
          <w:iCs/>
        </w:rPr>
        <w:t xml:space="preserve"> </w:t>
      </w:r>
      <w:r w:rsidRPr="00B27D06">
        <w:rPr>
          <w:bCs/>
          <w:iCs/>
        </w:rPr>
        <w:t xml:space="preserve">be occasions when the LEP Board meeting does not </w:t>
      </w:r>
      <w:r>
        <w:rPr>
          <w:bCs/>
          <w:iCs/>
        </w:rPr>
        <w:t>coincide with the quarterly r</w:t>
      </w:r>
      <w:r w:rsidRPr="00B27D06">
        <w:rPr>
          <w:bCs/>
          <w:iCs/>
        </w:rPr>
        <w:t>eporting deadline</w:t>
      </w:r>
      <w:r>
        <w:rPr>
          <w:bCs/>
          <w:iCs/>
        </w:rPr>
        <w:t>. I</w:t>
      </w:r>
      <w:r w:rsidRPr="00B27D06">
        <w:rPr>
          <w:bCs/>
          <w:iCs/>
        </w:rPr>
        <w:t xml:space="preserve">n this </w:t>
      </w:r>
      <w:r>
        <w:rPr>
          <w:bCs/>
          <w:iCs/>
        </w:rPr>
        <w:t>instance</w:t>
      </w:r>
      <w:r w:rsidRPr="00B27D06">
        <w:rPr>
          <w:bCs/>
          <w:iCs/>
        </w:rPr>
        <w:t xml:space="preserve">, </w:t>
      </w:r>
      <w:r>
        <w:rPr>
          <w:bCs/>
          <w:iCs/>
        </w:rPr>
        <w:t>it is</w:t>
      </w:r>
      <w:r w:rsidRPr="00B27D06">
        <w:rPr>
          <w:bCs/>
          <w:iCs/>
        </w:rPr>
        <w:t xml:space="preserve"> recommend </w:t>
      </w:r>
      <w:r>
        <w:rPr>
          <w:bCs/>
          <w:iCs/>
        </w:rPr>
        <w:t xml:space="preserve">that the </w:t>
      </w:r>
      <w:r w:rsidRPr="00B27D06">
        <w:rPr>
          <w:bCs/>
          <w:iCs/>
        </w:rPr>
        <w:t xml:space="preserve">approval </w:t>
      </w:r>
      <w:r>
        <w:rPr>
          <w:bCs/>
          <w:iCs/>
        </w:rPr>
        <w:t xml:space="preserve">of the quarterly </w:t>
      </w:r>
      <w:r w:rsidRPr="00B27D06">
        <w:rPr>
          <w:bCs/>
          <w:iCs/>
        </w:rPr>
        <w:t>reporting is delegated to the LEP</w:t>
      </w:r>
      <w:r>
        <w:rPr>
          <w:bCs/>
          <w:iCs/>
        </w:rPr>
        <w:t>'s</w:t>
      </w:r>
      <w:r w:rsidRPr="00B27D06">
        <w:rPr>
          <w:bCs/>
          <w:iCs/>
        </w:rPr>
        <w:t xml:space="preserve"> Executive Committee.</w:t>
      </w:r>
    </w:p>
    <w:p w:rsidR="00B27D06" w:rsidRPr="00B27D06" w:rsidRDefault="00D805BD" w:rsidP="00B27D06">
      <w:pPr>
        <w:ind w:left="0" w:firstLine="0"/>
        <w:rPr>
          <w:bCs/>
          <w:iCs/>
        </w:rPr>
      </w:pPr>
    </w:p>
    <w:p w:rsidR="00B27D06" w:rsidRDefault="00A34E18" w:rsidP="00B27D06">
      <w:pPr>
        <w:ind w:left="0" w:firstLine="0"/>
        <w:rPr>
          <w:bCs/>
          <w:iCs/>
        </w:rPr>
      </w:pPr>
      <w:r>
        <w:rPr>
          <w:bCs/>
          <w:iCs/>
        </w:rPr>
        <w:t>With regards to the quarterly</w:t>
      </w:r>
      <w:r w:rsidRPr="00B27D06">
        <w:rPr>
          <w:bCs/>
          <w:iCs/>
        </w:rPr>
        <w:t xml:space="preserve"> reporting for the period to the end of </w:t>
      </w:r>
      <w:r>
        <w:rPr>
          <w:bCs/>
          <w:iCs/>
        </w:rPr>
        <w:t>Quarter</w:t>
      </w:r>
      <w:r w:rsidRPr="00B27D06">
        <w:rPr>
          <w:bCs/>
          <w:iCs/>
        </w:rPr>
        <w:t xml:space="preserve"> 3 </w:t>
      </w:r>
      <w:r>
        <w:rPr>
          <w:bCs/>
          <w:iCs/>
        </w:rPr>
        <w:t>20</w:t>
      </w:r>
      <w:r w:rsidRPr="00B27D06">
        <w:rPr>
          <w:bCs/>
          <w:iCs/>
        </w:rPr>
        <w:t>17/18</w:t>
      </w:r>
      <w:r>
        <w:rPr>
          <w:bCs/>
          <w:iCs/>
        </w:rPr>
        <w:t xml:space="preserve"> (October to December)</w:t>
      </w:r>
      <w:r w:rsidRPr="00B27D06">
        <w:rPr>
          <w:bCs/>
          <w:iCs/>
        </w:rPr>
        <w:t xml:space="preserve">, </w:t>
      </w:r>
      <w:r>
        <w:rPr>
          <w:bCs/>
          <w:iCs/>
        </w:rPr>
        <w:t xml:space="preserve">and </w:t>
      </w:r>
      <w:r w:rsidRPr="00B27D06">
        <w:rPr>
          <w:bCs/>
          <w:iCs/>
        </w:rPr>
        <w:t>as agreed with</w:t>
      </w:r>
      <w:r>
        <w:rPr>
          <w:bCs/>
          <w:iCs/>
        </w:rPr>
        <w:t xml:space="preserve"> the Cities and Local Growth Unit,</w:t>
      </w:r>
      <w:r w:rsidRPr="00B27D06">
        <w:rPr>
          <w:bCs/>
          <w:iCs/>
        </w:rPr>
        <w:t xml:space="preserve"> retrospective approval </w:t>
      </w:r>
      <w:r>
        <w:rPr>
          <w:bCs/>
          <w:iCs/>
        </w:rPr>
        <w:t xml:space="preserve">is now sought from </w:t>
      </w:r>
      <w:r w:rsidRPr="00B27D06">
        <w:rPr>
          <w:bCs/>
          <w:iCs/>
        </w:rPr>
        <w:t>the LEP Board</w:t>
      </w:r>
      <w:r>
        <w:rPr>
          <w:bCs/>
          <w:iCs/>
        </w:rPr>
        <w:t>. T</w:t>
      </w:r>
      <w:r w:rsidRPr="00B27D06">
        <w:rPr>
          <w:bCs/>
          <w:iCs/>
        </w:rPr>
        <w:t xml:space="preserve">he </w:t>
      </w:r>
      <w:r>
        <w:rPr>
          <w:bCs/>
          <w:iCs/>
        </w:rPr>
        <w:t xml:space="preserve">quarterly </w:t>
      </w:r>
      <w:r w:rsidRPr="00B27D06">
        <w:rPr>
          <w:bCs/>
          <w:iCs/>
        </w:rPr>
        <w:t xml:space="preserve">reporting summary dashboard </w:t>
      </w:r>
      <w:r>
        <w:rPr>
          <w:bCs/>
          <w:iCs/>
        </w:rPr>
        <w:t>i</w:t>
      </w:r>
      <w:r w:rsidRPr="00B27D06">
        <w:rPr>
          <w:bCs/>
          <w:iCs/>
        </w:rPr>
        <w:t>s attached at Appendix A.</w:t>
      </w:r>
    </w:p>
    <w:p w:rsidR="00C77EB6" w:rsidRDefault="00D805BD" w:rsidP="00B27D06">
      <w:pPr>
        <w:ind w:left="0" w:firstLine="0"/>
        <w:rPr>
          <w:bCs/>
          <w:iCs/>
        </w:rPr>
      </w:pPr>
    </w:p>
    <w:p w:rsidR="00DD62D6" w:rsidRPr="00B27D06" w:rsidRDefault="00A34E18" w:rsidP="00D52FBF">
      <w:pPr>
        <w:ind w:left="0" w:firstLine="0"/>
      </w:pPr>
      <w:r>
        <w:rPr>
          <w:bCs/>
          <w:iCs/>
        </w:rPr>
        <w:t>The Board is asked to note that the dashboard identifies a Local Growth Fund award of £226.7m. This number is less than the £320.86m Growth Deal programme allocation, which also includes retained transport schemes and a £26m loan from the Public Works Loan Board to Blackpool Council at a project rate discount of 40 basis points below the standard Public Works Loan Board rate.</w:t>
      </w:r>
    </w:p>
    <w:p w:rsidR="005D0C06" w:rsidRPr="00AB6785" w:rsidRDefault="00A34E18" w:rsidP="00F9173B">
      <w:pPr>
        <w:pStyle w:val="Heading5"/>
        <w:rPr>
          <w:rFonts w:ascii="Arial" w:hAnsi="Arial"/>
          <w:b/>
          <w:color w:val="auto"/>
        </w:rPr>
      </w:pPr>
      <w:r w:rsidRPr="00AB6785">
        <w:rPr>
          <w:rFonts w:ascii="Arial" w:hAnsi="Arial"/>
          <w:b/>
          <w:color w:val="auto"/>
        </w:rPr>
        <w:lastRenderedPageBreak/>
        <w:t>List of Background Papers</w:t>
      </w:r>
    </w:p>
    <w:p w:rsidR="005D0C06" w:rsidRDefault="00D805BD" w:rsidP="00F9173B"/>
    <w:tbl>
      <w:tblPr>
        <w:tblW w:w="0" w:type="auto"/>
        <w:tblLayout w:type="fixed"/>
        <w:tblLook w:val="0000" w:firstRow="0" w:lastRow="0" w:firstColumn="0" w:lastColumn="0" w:noHBand="0" w:noVBand="0"/>
      </w:tblPr>
      <w:tblGrid>
        <w:gridCol w:w="3510"/>
        <w:gridCol w:w="2492"/>
        <w:gridCol w:w="3178"/>
      </w:tblGrid>
      <w:tr w:rsidR="00082A92" w:rsidTr="00434CCE">
        <w:tc>
          <w:tcPr>
            <w:tcW w:w="3510" w:type="dxa"/>
          </w:tcPr>
          <w:p w:rsidR="005D0C06" w:rsidRPr="00AB6785" w:rsidRDefault="00A34E18" w:rsidP="00F9173B">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A34E18" w:rsidP="00F9173B">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A34E18" w:rsidP="00F9173B">
            <w:pPr>
              <w:pStyle w:val="Heading7"/>
              <w:rPr>
                <w:rFonts w:ascii="Arial" w:hAnsi="Arial" w:cs="Arial"/>
                <w:i w:val="0"/>
                <w:color w:val="auto"/>
              </w:rPr>
            </w:pPr>
            <w:r w:rsidRPr="00AB6785">
              <w:rPr>
                <w:rFonts w:ascii="Arial" w:hAnsi="Arial" w:cs="Arial"/>
                <w:i w:val="0"/>
                <w:color w:val="auto"/>
              </w:rPr>
              <w:t>Contact/Tel</w:t>
            </w:r>
          </w:p>
        </w:tc>
      </w:tr>
      <w:tr w:rsidR="00082A92" w:rsidTr="00434CCE">
        <w:tc>
          <w:tcPr>
            <w:tcW w:w="3510" w:type="dxa"/>
          </w:tcPr>
          <w:p w:rsidR="005D0C06" w:rsidRPr="00AB6785" w:rsidRDefault="00D805BD" w:rsidP="00F9173B">
            <w:pPr>
              <w:rPr>
                <w:color w:val="auto"/>
              </w:rPr>
            </w:pPr>
          </w:p>
          <w:p w:rsidR="005D0C06" w:rsidRDefault="00A34E18" w:rsidP="00F9173B">
            <w:pPr>
              <w:rPr>
                <w:color w:val="auto"/>
              </w:rPr>
            </w:pPr>
            <w:r>
              <w:rPr>
                <w:color w:val="auto"/>
              </w:rPr>
              <w:t>N/A</w:t>
            </w:r>
          </w:p>
          <w:p w:rsidR="005D0C06" w:rsidRPr="00AB6785" w:rsidRDefault="00D805BD" w:rsidP="00F9173B">
            <w:pPr>
              <w:rPr>
                <w:color w:val="auto"/>
              </w:rPr>
            </w:pPr>
          </w:p>
        </w:tc>
        <w:tc>
          <w:tcPr>
            <w:tcW w:w="2492" w:type="dxa"/>
          </w:tcPr>
          <w:p w:rsidR="005D0C06" w:rsidRPr="00AB6785" w:rsidRDefault="00D805BD" w:rsidP="00F9173B">
            <w:pPr>
              <w:rPr>
                <w:color w:val="auto"/>
              </w:rPr>
            </w:pPr>
          </w:p>
        </w:tc>
        <w:tc>
          <w:tcPr>
            <w:tcW w:w="3178" w:type="dxa"/>
          </w:tcPr>
          <w:p w:rsidR="005D0C06" w:rsidRPr="00AB6785" w:rsidRDefault="00D805BD" w:rsidP="00F9173B">
            <w:pPr>
              <w:rPr>
                <w:color w:val="auto"/>
              </w:rPr>
            </w:pPr>
          </w:p>
        </w:tc>
      </w:tr>
      <w:tr w:rsidR="00082A92" w:rsidTr="00434CCE">
        <w:trPr>
          <w:cantSplit/>
        </w:trPr>
        <w:tc>
          <w:tcPr>
            <w:tcW w:w="9180" w:type="dxa"/>
            <w:gridSpan w:val="3"/>
          </w:tcPr>
          <w:p w:rsidR="005D0C06" w:rsidRDefault="00D805BD" w:rsidP="00F9173B"/>
          <w:p w:rsidR="005D0C06" w:rsidRDefault="00A34E18" w:rsidP="00F9173B">
            <w:r>
              <w:t xml:space="preserve">Reason for inclusion in Part II, if appropriate </w:t>
            </w:r>
          </w:p>
          <w:p w:rsidR="005D0C06" w:rsidRDefault="00D805BD" w:rsidP="00F9173B"/>
          <w:p w:rsidR="005D0C06" w:rsidRPr="00F95C8B" w:rsidRDefault="00A34E18" w:rsidP="00F9173B">
            <w:pPr>
              <w:rPr>
                <w:color w:val="auto"/>
              </w:rPr>
            </w:pPr>
            <w:r>
              <w:rPr>
                <w:color w:val="auto"/>
              </w:rPr>
              <w:t>N/A</w:t>
            </w:r>
          </w:p>
          <w:p w:rsidR="005D0C06" w:rsidRDefault="00D805BD" w:rsidP="00F9173B"/>
        </w:tc>
      </w:tr>
    </w:tbl>
    <w:p w:rsidR="005D0C06" w:rsidRDefault="00D805BD" w:rsidP="00F9173B"/>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BBD" w:rsidRDefault="00A34E18">
      <w:pPr>
        <w:spacing w:after="0" w:line="240" w:lineRule="auto"/>
      </w:pPr>
      <w:r>
        <w:separator/>
      </w:r>
    </w:p>
  </w:endnote>
  <w:endnote w:type="continuationSeparator" w:id="0">
    <w:p w:rsidR="00C12BBD" w:rsidRDefault="00A3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BBD" w:rsidRDefault="00A34E18">
      <w:pPr>
        <w:spacing w:after="0" w:line="240" w:lineRule="auto"/>
      </w:pPr>
      <w:r>
        <w:separator/>
      </w:r>
    </w:p>
  </w:footnote>
  <w:footnote w:type="continuationSeparator" w:id="0">
    <w:p w:rsidR="00C12BBD" w:rsidRDefault="00A34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A34E18">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954189"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7AB2"/>
    <w:multiLevelType w:val="hybridMultilevel"/>
    <w:tmpl w:val="B75848E6"/>
    <w:lvl w:ilvl="0" w:tplc="7EF854F8">
      <w:start w:val="1"/>
      <w:numFmt w:val="decimal"/>
      <w:lvlText w:val="%1."/>
      <w:lvlJc w:val="left"/>
      <w:pPr>
        <w:ind w:left="360" w:hanging="360"/>
      </w:pPr>
      <w:rPr>
        <w:rFonts w:hint="default"/>
      </w:rPr>
    </w:lvl>
    <w:lvl w:ilvl="1" w:tplc="3738E8C4" w:tentative="1">
      <w:start w:val="1"/>
      <w:numFmt w:val="bullet"/>
      <w:lvlText w:val="o"/>
      <w:lvlJc w:val="left"/>
      <w:pPr>
        <w:ind w:left="1080" w:hanging="360"/>
      </w:pPr>
      <w:rPr>
        <w:rFonts w:ascii="Courier New" w:hAnsi="Courier New" w:cs="Courier New" w:hint="default"/>
      </w:rPr>
    </w:lvl>
    <w:lvl w:ilvl="2" w:tplc="56FEBEB4" w:tentative="1">
      <w:start w:val="1"/>
      <w:numFmt w:val="bullet"/>
      <w:lvlText w:val=""/>
      <w:lvlJc w:val="left"/>
      <w:pPr>
        <w:ind w:left="1800" w:hanging="360"/>
      </w:pPr>
      <w:rPr>
        <w:rFonts w:ascii="Wingdings" w:hAnsi="Wingdings" w:hint="default"/>
      </w:rPr>
    </w:lvl>
    <w:lvl w:ilvl="3" w:tplc="7E365C48" w:tentative="1">
      <w:start w:val="1"/>
      <w:numFmt w:val="bullet"/>
      <w:lvlText w:val=""/>
      <w:lvlJc w:val="left"/>
      <w:pPr>
        <w:ind w:left="2520" w:hanging="360"/>
      </w:pPr>
      <w:rPr>
        <w:rFonts w:ascii="Symbol" w:hAnsi="Symbol" w:hint="default"/>
      </w:rPr>
    </w:lvl>
    <w:lvl w:ilvl="4" w:tplc="CF4C338A" w:tentative="1">
      <w:start w:val="1"/>
      <w:numFmt w:val="bullet"/>
      <w:lvlText w:val="o"/>
      <w:lvlJc w:val="left"/>
      <w:pPr>
        <w:ind w:left="3240" w:hanging="360"/>
      </w:pPr>
      <w:rPr>
        <w:rFonts w:ascii="Courier New" w:hAnsi="Courier New" w:cs="Courier New" w:hint="default"/>
      </w:rPr>
    </w:lvl>
    <w:lvl w:ilvl="5" w:tplc="9036E8F2" w:tentative="1">
      <w:start w:val="1"/>
      <w:numFmt w:val="bullet"/>
      <w:lvlText w:val=""/>
      <w:lvlJc w:val="left"/>
      <w:pPr>
        <w:ind w:left="3960" w:hanging="360"/>
      </w:pPr>
      <w:rPr>
        <w:rFonts w:ascii="Wingdings" w:hAnsi="Wingdings" w:hint="default"/>
      </w:rPr>
    </w:lvl>
    <w:lvl w:ilvl="6" w:tplc="1AFC9232" w:tentative="1">
      <w:start w:val="1"/>
      <w:numFmt w:val="bullet"/>
      <w:lvlText w:val=""/>
      <w:lvlJc w:val="left"/>
      <w:pPr>
        <w:ind w:left="4680" w:hanging="360"/>
      </w:pPr>
      <w:rPr>
        <w:rFonts w:ascii="Symbol" w:hAnsi="Symbol" w:hint="default"/>
      </w:rPr>
    </w:lvl>
    <w:lvl w:ilvl="7" w:tplc="1D22F780" w:tentative="1">
      <w:start w:val="1"/>
      <w:numFmt w:val="bullet"/>
      <w:lvlText w:val="o"/>
      <w:lvlJc w:val="left"/>
      <w:pPr>
        <w:ind w:left="5400" w:hanging="360"/>
      </w:pPr>
      <w:rPr>
        <w:rFonts w:ascii="Courier New" w:hAnsi="Courier New" w:cs="Courier New" w:hint="default"/>
      </w:rPr>
    </w:lvl>
    <w:lvl w:ilvl="8" w:tplc="A64AFEB8" w:tentative="1">
      <w:start w:val="1"/>
      <w:numFmt w:val="bullet"/>
      <w:lvlText w:val=""/>
      <w:lvlJc w:val="left"/>
      <w:pPr>
        <w:ind w:left="612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8146A04"/>
    <w:multiLevelType w:val="hybridMultilevel"/>
    <w:tmpl w:val="E8128F10"/>
    <w:lvl w:ilvl="0" w:tplc="99B65474">
      <w:start w:val="1"/>
      <w:numFmt w:val="bullet"/>
      <w:lvlText w:val=""/>
      <w:lvlJc w:val="left"/>
      <w:pPr>
        <w:ind w:left="360" w:hanging="360"/>
      </w:pPr>
      <w:rPr>
        <w:rFonts w:ascii="Symbol" w:hAnsi="Symbol" w:hint="default"/>
      </w:rPr>
    </w:lvl>
    <w:lvl w:ilvl="1" w:tplc="6E5676F0" w:tentative="1">
      <w:start w:val="1"/>
      <w:numFmt w:val="bullet"/>
      <w:lvlText w:val="o"/>
      <w:lvlJc w:val="left"/>
      <w:pPr>
        <w:ind w:left="1080" w:hanging="360"/>
      </w:pPr>
      <w:rPr>
        <w:rFonts w:ascii="Courier New" w:hAnsi="Courier New" w:cs="Courier New" w:hint="default"/>
      </w:rPr>
    </w:lvl>
    <w:lvl w:ilvl="2" w:tplc="3D0C7BAC" w:tentative="1">
      <w:start w:val="1"/>
      <w:numFmt w:val="bullet"/>
      <w:lvlText w:val=""/>
      <w:lvlJc w:val="left"/>
      <w:pPr>
        <w:ind w:left="1800" w:hanging="360"/>
      </w:pPr>
      <w:rPr>
        <w:rFonts w:ascii="Wingdings" w:hAnsi="Wingdings" w:hint="default"/>
      </w:rPr>
    </w:lvl>
    <w:lvl w:ilvl="3" w:tplc="EA6E1FDC" w:tentative="1">
      <w:start w:val="1"/>
      <w:numFmt w:val="bullet"/>
      <w:lvlText w:val=""/>
      <w:lvlJc w:val="left"/>
      <w:pPr>
        <w:ind w:left="2520" w:hanging="360"/>
      </w:pPr>
      <w:rPr>
        <w:rFonts w:ascii="Symbol" w:hAnsi="Symbol" w:hint="default"/>
      </w:rPr>
    </w:lvl>
    <w:lvl w:ilvl="4" w:tplc="B6905CAA" w:tentative="1">
      <w:start w:val="1"/>
      <w:numFmt w:val="bullet"/>
      <w:lvlText w:val="o"/>
      <w:lvlJc w:val="left"/>
      <w:pPr>
        <w:ind w:left="3240" w:hanging="360"/>
      </w:pPr>
      <w:rPr>
        <w:rFonts w:ascii="Courier New" w:hAnsi="Courier New" w:cs="Courier New" w:hint="default"/>
      </w:rPr>
    </w:lvl>
    <w:lvl w:ilvl="5" w:tplc="751C1CA8" w:tentative="1">
      <w:start w:val="1"/>
      <w:numFmt w:val="bullet"/>
      <w:lvlText w:val=""/>
      <w:lvlJc w:val="left"/>
      <w:pPr>
        <w:ind w:left="3960" w:hanging="360"/>
      </w:pPr>
      <w:rPr>
        <w:rFonts w:ascii="Wingdings" w:hAnsi="Wingdings" w:hint="default"/>
      </w:rPr>
    </w:lvl>
    <w:lvl w:ilvl="6" w:tplc="C3CAAD2A" w:tentative="1">
      <w:start w:val="1"/>
      <w:numFmt w:val="bullet"/>
      <w:lvlText w:val=""/>
      <w:lvlJc w:val="left"/>
      <w:pPr>
        <w:ind w:left="4680" w:hanging="360"/>
      </w:pPr>
      <w:rPr>
        <w:rFonts w:ascii="Symbol" w:hAnsi="Symbol" w:hint="default"/>
      </w:rPr>
    </w:lvl>
    <w:lvl w:ilvl="7" w:tplc="AFDAE288" w:tentative="1">
      <w:start w:val="1"/>
      <w:numFmt w:val="bullet"/>
      <w:lvlText w:val="o"/>
      <w:lvlJc w:val="left"/>
      <w:pPr>
        <w:ind w:left="5400" w:hanging="360"/>
      </w:pPr>
      <w:rPr>
        <w:rFonts w:ascii="Courier New" w:hAnsi="Courier New" w:cs="Courier New" w:hint="default"/>
      </w:rPr>
    </w:lvl>
    <w:lvl w:ilvl="8" w:tplc="0350521E" w:tentative="1">
      <w:start w:val="1"/>
      <w:numFmt w:val="bullet"/>
      <w:lvlText w:val=""/>
      <w:lvlJc w:val="left"/>
      <w:pPr>
        <w:ind w:left="6120" w:hanging="360"/>
      </w:pPr>
      <w:rPr>
        <w:rFonts w:ascii="Wingdings" w:hAnsi="Wingdings" w:hint="default"/>
      </w:rPr>
    </w:lvl>
  </w:abstractNum>
  <w:abstractNum w:abstractNumId="3" w15:restartNumberingAfterBreak="0">
    <w:nsid w:val="2D2473D4"/>
    <w:multiLevelType w:val="hybridMultilevel"/>
    <w:tmpl w:val="0BBA2C0C"/>
    <w:lvl w:ilvl="0" w:tplc="78E42EA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A7DC4ABC">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A2180086">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900E017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85382D8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27CADE5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358E05FA">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A8DCA47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D3BC689A">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52EF4FC7"/>
    <w:multiLevelType w:val="hybridMultilevel"/>
    <w:tmpl w:val="F49EEF24"/>
    <w:lvl w:ilvl="0" w:tplc="B76AEC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5609AE"/>
    <w:multiLevelType w:val="hybridMultilevel"/>
    <w:tmpl w:val="335E0BF2"/>
    <w:lvl w:ilvl="0" w:tplc="2BF47484">
      <w:start w:val="1"/>
      <w:numFmt w:val="bullet"/>
      <w:lvlText w:val=""/>
      <w:lvlJc w:val="left"/>
      <w:pPr>
        <w:ind w:left="720" w:hanging="360"/>
      </w:pPr>
      <w:rPr>
        <w:rFonts w:ascii="Symbol" w:hAnsi="Symbol" w:hint="default"/>
      </w:rPr>
    </w:lvl>
    <w:lvl w:ilvl="1" w:tplc="4CD05754" w:tentative="1">
      <w:start w:val="1"/>
      <w:numFmt w:val="bullet"/>
      <w:lvlText w:val="o"/>
      <w:lvlJc w:val="left"/>
      <w:pPr>
        <w:ind w:left="1440" w:hanging="360"/>
      </w:pPr>
      <w:rPr>
        <w:rFonts w:ascii="Courier New" w:hAnsi="Courier New" w:cs="Courier New" w:hint="default"/>
      </w:rPr>
    </w:lvl>
    <w:lvl w:ilvl="2" w:tplc="9F1C8A7E" w:tentative="1">
      <w:start w:val="1"/>
      <w:numFmt w:val="bullet"/>
      <w:lvlText w:val=""/>
      <w:lvlJc w:val="left"/>
      <w:pPr>
        <w:ind w:left="2160" w:hanging="360"/>
      </w:pPr>
      <w:rPr>
        <w:rFonts w:ascii="Wingdings" w:hAnsi="Wingdings" w:hint="default"/>
      </w:rPr>
    </w:lvl>
    <w:lvl w:ilvl="3" w:tplc="84C05924" w:tentative="1">
      <w:start w:val="1"/>
      <w:numFmt w:val="bullet"/>
      <w:lvlText w:val=""/>
      <w:lvlJc w:val="left"/>
      <w:pPr>
        <w:ind w:left="2880" w:hanging="360"/>
      </w:pPr>
      <w:rPr>
        <w:rFonts w:ascii="Symbol" w:hAnsi="Symbol" w:hint="default"/>
      </w:rPr>
    </w:lvl>
    <w:lvl w:ilvl="4" w:tplc="544EA3B6" w:tentative="1">
      <w:start w:val="1"/>
      <w:numFmt w:val="bullet"/>
      <w:lvlText w:val="o"/>
      <w:lvlJc w:val="left"/>
      <w:pPr>
        <w:ind w:left="3600" w:hanging="360"/>
      </w:pPr>
      <w:rPr>
        <w:rFonts w:ascii="Courier New" w:hAnsi="Courier New" w:cs="Courier New" w:hint="default"/>
      </w:rPr>
    </w:lvl>
    <w:lvl w:ilvl="5" w:tplc="EA543FE2" w:tentative="1">
      <w:start w:val="1"/>
      <w:numFmt w:val="bullet"/>
      <w:lvlText w:val=""/>
      <w:lvlJc w:val="left"/>
      <w:pPr>
        <w:ind w:left="4320" w:hanging="360"/>
      </w:pPr>
      <w:rPr>
        <w:rFonts w:ascii="Wingdings" w:hAnsi="Wingdings" w:hint="default"/>
      </w:rPr>
    </w:lvl>
    <w:lvl w:ilvl="6" w:tplc="156C32B8" w:tentative="1">
      <w:start w:val="1"/>
      <w:numFmt w:val="bullet"/>
      <w:lvlText w:val=""/>
      <w:lvlJc w:val="left"/>
      <w:pPr>
        <w:ind w:left="5040" w:hanging="360"/>
      </w:pPr>
      <w:rPr>
        <w:rFonts w:ascii="Symbol" w:hAnsi="Symbol" w:hint="default"/>
      </w:rPr>
    </w:lvl>
    <w:lvl w:ilvl="7" w:tplc="1694B2F0" w:tentative="1">
      <w:start w:val="1"/>
      <w:numFmt w:val="bullet"/>
      <w:lvlText w:val="o"/>
      <w:lvlJc w:val="left"/>
      <w:pPr>
        <w:ind w:left="5760" w:hanging="360"/>
      </w:pPr>
      <w:rPr>
        <w:rFonts w:ascii="Courier New" w:hAnsi="Courier New" w:cs="Courier New" w:hint="default"/>
      </w:rPr>
    </w:lvl>
    <w:lvl w:ilvl="8" w:tplc="390E5B44" w:tentative="1">
      <w:start w:val="1"/>
      <w:numFmt w:val="bullet"/>
      <w:lvlText w:val=""/>
      <w:lvlJc w:val="left"/>
      <w:pPr>
        <w:ind w:left="6480" w:hanging="360"/>
      </w:pPr>
      <w:rPr>
        <w:rFonts w:ascii="Wingdings" w:hAnsi="Wingdings" w:hint="default"/>
      </w:rPr>
    </w:lvl>
  </w:abstractNum>
  <w:abstractNum w:abstractNumId="7" w15:restartNumberingAfterBreak="0">
    <w:nsid w:val="730E2667"/>
    <w:multiLevelType w:val="hybridMultilevel"/>
    <w:tmpl w:val="E2CEBE2C"/>
    <w:lvl w:ilvl="0" w:tplc="DEDE6EFE">
      <w:start w:val="1"/>
      <w:numFmt w:val="bullet"/>
      <w:lvlText w:val=""/>
      <w:lvlJc w:val="left"/>
      <w:pPr>
        <w:ind w:left="720" w:hanging="360"/>
      </w:pPr>
      <w:rPr>
        <w:rFonts w:ascii="Wingdings" w:hAnsi="Wingdings" w:hint="default"/>
      </w:rPr>
    </w:lvl>
    <w:lvl w:ilvl="1" w:tplc="7AEAE4EE" w:tentative="1">
      <w:start w:val="1"/>
      <w:numFmt w:val="bullet"/>
      <w:lvlText w:val="o"/>
      <w:lvlJc w:val="left"/>
      <w:pPr>
        <w:ind w:left="1440" w:hanging="360"/>
      </w:pPr>
      <w:rPr>
        <w:rFonts w:ascii="Courier New" w:hAnsi="Courier New" w:cs="Courier New" w:hint="default"/>
      </w:rPr>
    </w:lvl>
    <w:lvl w:ilvl="2" w:tplc="3FC60410" w:tentative="1">
      <w:start w:val="1"/>
      <w:numFmt w:val="bullet"/>
      <w:lvlText w:val=""/>
      <w:lvlJc w:val="left"/>
      <w:pPr>
        <w:ind w:left="2160" w:hanging="360"/>
      </w:pPr>
      <w:rPr>
        <w:rFonts w:ascii="Wingdings" w:hAnsi="Wingdings" w:hint="default"/>
      </w:rPr>
    </w:lvl>
    <w:lvl w:ilvl="3" w:tplc="579E9EB0" w:tentative="1">
      <w:start w:val="1"/>
      <w:numFmt w:val="bullet"/>
      <w:lvlText w:val=""/>
      <w:lvlJc w:val="left"/>
      <w:pPr>
        <w:ind w:left="2880" w:hanging="360"/>
      </w:pPr>
      <w:rPr>
        <w:rFonts w:ascii="Symbol" w:hAnsi="Symbol" w:hint="default"/>
      </w:rPr>
    </w:lvl>
    <w:lvl w:ilvl="4" w:tplc="4ECA30A6" w:tentative="1">
      <w:start w:val="1"/>
      <w:numFmt w:val="bullet"/>
      <w:lvlText w:val="o"/>
      <w:lvlJc w:val="left"/>
      <w:pPr>
        <w:ind w:left="3600" w:hanging="360"/>
      </w:pPr>
      <w:rPr>
        <w:rFonts w:ascii="Courier New" w:hAnsi="Courier New" w:cs="Courier New" w:hint="default"/>
      </w:rPr>
    </w:lvl>
    <w:lvl w:ilvl="5" w:tplc="AB345E36" w:tentative="1">
      <w:start w:val="1"/>
      <w:numFmt w:val="bullet"/>
      <w:lvlText w:val=""/>
      <w:lvlJc w:val="left"/>
      <w:pPr>
        <w:ind w:left="4320" w:hanging="360"/>
      </w:pPr>
      <w:rPr>
        <w:rFonts w:ascii="Wingdings" w:hAnsi="Wingdings" w:hint="default"/>
      </w:rPr>
    </w:lvl>
    <w:lvl w:ilvl="6" w:tplc="D58AC874" w:tentative="1">
      <w:start w:val="1"/>
      <w:numFmt w:val="bullet"/>
      <w:lvlText w:val=""/>
      <w:lvlJc w:val="left"/>
      <w:pPr>
        <w:ind w:left="5040" w:hanging="360"/>
      </w:pPr>
      <w:rPr>
        <w:rFonts w:ascii="Symbol" w:hAnsi="Symbol" w:hint="default"/>
      </w:rPr>
    </w:lvl>
    <w:lvl w:ilvl="7" w:tplc="C4769B16" w:tentative="1">
      <w:start w:val="1"/>
      <w:numFmt w:val="bullet"/>
      <w:lvlText w:val="o"/>
      <w:lvlJc w:val="left"/>
      <w:pPr>
        <w:ind w:left="5760" w:hanging="360"/>
      </w:pPr>
      <w:rPr>
        <w:rFonts w:ascii="Courier New" w:hAnsi="Courier New" w:cs="Courier New" w:hint="default"/>
      </w:rPr>
    </w:lvl>
    <w:lvl w:ilvl="8" w:tplc="194A6E64" w:tentative="1">
      <w:start w:val="1"/>
      <w:numFmt w:val="bullet"/>
      <w:lvlText w:val=""/>
      <w:lvlJc w:val="left"/>
      <w:pPr>
        <w:ind w:left="6480" w:hanging="360"/>
      </w:pPr>
      <w:rPr>
        <w:rFonts w:ascii="Wingdings" w:hAnsi="Wingdings" w:hint="default"/>
      </w:rPr>
    </w:lvl>
  </w:abstractNum>
  <w:abstractNum w:abstractNumId="8" w15:restartNumberingAfterBreak="0">
    <w:nsid w:val="75410714"/>
    <w:multiLevelType w:val="hybridMultilevel"/>
    <w:tmpl w:val="005AB764"/>
    <w:lvl w:ilvl="0" w:tplc="F80A6092">
      <w:start w:val="1"/>
      <w:numFmt w:val="decimal"/>
      <w:lvlText w:val="%1."/>
      <w:lvlJc w:val="left"/>
      <w:pPr>
        <w:ind w:left="720" w:hanging="360"/>
      </w:pPr>
    </w:lvl>
    <w:lvl w:ilvl="1" w:tplc="4ADC381C">
      <w:start w:val="1"/>
      <w:numFmt w:val="lowerLetter"/>
      <w:lvlText w:val="%2."/>
      <w:lvlJc w:val="left"/>
      <w:pPr>
        <w:ind w:left="1440" w:hanging="360"/>
      </w:pPr>
    </w:lvl>
    <w:lvl w:ilvl="2" w:tplc="08CA8BBA">
      <w:start w:val="1"/>
      <w:numFmt w:val="lowerRoman"/>
      <w:lvlText w:val="%3."/>
      <w:lvlJc w:val="right"/>
      <w:pPr>
        <w:ind w:left="2160" w:hanging="180"/>
      </w:pPr>
    </w:lvl>
    <w:lvl w:ilvl="3" w:tplc="CFAA3418">
      <w:start w:val="1"/>
      <w:numFmt w:val="decimal"/>
      <w:lvlText w:val="%4."/>
      <w:lvlJc w:val="left"/>
      <w:pPr>
        <w:ind w:left="2880" w:hanging="360"/>
      </w:pPr>
    </w:lvl>
    <w:lvl w:ilvl="4" w:tplc="C96E1D16">
      <w:start w:val="1"/>
      <w:numFmt w:val="lowerLetter"/>
      <w:lvlText w:val="%5."/>
      <w:lvlJc w:val="left"/>
      <w:pPr>
        <w:ind w:left="3600" w:hanging="360"/>
      </w:pPr>
    </w:lvl>
    <w:lvl w:ilvl="5" w:tplc="34505398">
      <w:start w:val="1"/>
      <w:numFmt w:val="lowerRoman"/>
      <w:lvlText w:val="%6."/>
      <w:lvlJc w:val="right"/>
      <w:pPr>
        <w:ind w:left="4320" w:hanging="180"/>
      </w:pPr>
    </w:lvl>
    <w:lvl w:ilvl="6" w:tplc="6986C4B8">
      <w:start w:val="1"/>
      <w:numFmt w:val="decimal"/>
      <w:lvlText w:val="%7."/>
      <w:lvlJc w:val="left"/>
      <w:pPr>
        <w:ind w:left="5040" w:hanging="360"/>
      </w:pPr>
    </w:lvl>
    <w:lvl w:ilvl="7" w:tplc="7694A044">
      <w:start w:val="1"/>
      <w:numFmt w:val="lowerLetter"/>
      <w:lvlText w:val="%8."/>
      <w:lvlJc w:val="left"/>
      <w:pPr>
        <w:ind w:left="5760" w:hanging="360"/>
      </w:pPr>
    </w:lvl>
    <w:lvl w:ilvl="8" w:tplc="D11464C4">
      <w:start w:val="1"/>
      <w:numFmt w:val="lowerRoman"/>
      <w:lvlText w:val="%9."/>
      <w:lvlJc w:val="right"/>
      <w:pPr>
        <w:ind w:left="6480" w:hanging="180"/>
      </w:pPr>
    </w:lvl>
  </w:abstractNum>
  <w:abstractNum w:abstractNumId="9" w15:restartNumberingAfterBreak="0">
    <w:nsid w:val="7AFF5B75"/>
    <w:multiLevelType w:val="hybridMultilevel"/>
    <w:tmpl w:val="A5066E5C"/>
    <w:lvl w:ilvl="0" w:tplc="B1AA370E">
      <w:start w:val="1"/>
      <w:numFmt w:val="bullet"/>
      <w:lvlText w:val=""/>
      <w:lvlJc w:val="left"/>
      <w:pPr>
        <w:ind w:left="720" w:hanging="360"/>
      </w:pPr>
      <w:rPr>
        <w:rFonts w:ascii="Symbol" w:hAnsi="Symbol" w:hint="default"/>
      </w:rPr>
    </w:lvl>
    <w:lvl w:ilvl="1" w:tplc="6B4006E0">
      <w:start w:val="1"/>
      <w:numFmt w:val="bullet"/>
      <w:lvlText w:val="o"/>
      <w:lvlJc w:val="left"/>
      <w:pPr>
        <w:ind w:left="1440" w:hanging="360"/>
      </w:pPr>
      <w:rPr>
        <w:rFonts w:ascii="Courier New" w:hAnsi="Courier New" w:cs="Courier New" w:hint="default"/>
      </w:rPr>
    </w:lvl>
    <w:lvl w:ilvl="2" w:tplc="F87C516A" w:tentative="1">
      <w:start w:val="1"/>
      <w:numFmt w:val="bullet"/>
      <w:lvlText w:val=""/>
      <w:lvlJc w:val="left"/>
      <w:pPr>
        <w:ind w:left="2160" w:hanging="360"/>
      </w:pPr>
      <w:rPr>
        <w:rFonts w:ascii="Wingdings" w:hAnsi="Wingdings" w:hint="default"/>
      </w:rPr>
    </w:lvl>
    <w:lvl w:ilvl="3" w:tplc="E56E56E0" w:tentative="1">
      <w:start w:val="1"/>
      <w:numFmt w:val="bullet"/>
      <w:lvlText w:val=""/>
      <w:lvlJc w:val="left"/>
      <w:pPr>
        <w:ind w:left="2880" w:hanging="360"/>
      </w:pPr>
      <w:rPr>
        <w:rFonts w:ascii="Symbol" w:hAnsi="Symbol" w:hint="default"/>
      </w:rPr>
    </w:lvl>
    <w:lvl w:ilvl="4" w:tplc="4C70D352" w:tentative="1">
      <w:start w:val="1"/>
      <w:numFmt w:val="bullet"/>
      <w:lvlText w:val="o"/>
      <w:lvlJc w:val="left"/>
      <w:pPr>
        <w:ind w:left="3600" w:hanging="360"/>
      </w:pPr>
      <w:rPr>
        <w:rFonts w:ascii="Courier New" w:hAnsi="Courier New" w:cs="Courier New" w:hint="default"/>
      </w:rPr>
    </w:lvl>
    <w:lvl w:ilvl="5" w:tplc="7D3E35D2" w:tentative="1">
      <w:start w:val="1"/>
      <w:numFmt w:val="bullet"/>
      <w:lvlText w:val=""/>
      <w:lvlJc w:val="left"/>
      <w:pPr>
        <w:ind w:left="4320" w:hanging="360"/>
      </w:pPr>
      <w:rPr>
        <w:rFonts w:ascii="Wingdings" w:hAnsi="Wingdings" w:hint="default"/>
      </w:rPr>
    </w:lvl>
    <w:lvl w:ilvl="6" w:tplc="00762F7E" w:tentative="1">
      <w:start w:val="1"/>
      <w:numFmt w:val="bullet"/>
      <w:lvlText w:val=""/>
      <w:lvlJc w:val="left"/>
      <w:pPr>
        <w:ind w:left="5040" w:hanging="360"/>
      </w:pPr>
      <w:rPr>
        <w:rFonts w:ascii="Symbol" w:hAnsi="Symbol" w:hint="default"/>
      </w:rPr>
    </w:lvl>
    <w:lvl w:ilvl="7" w:tplc="82104988" w:tentative="1">
      <w:start w:val="1"/>
      <w:numFmt w:val="bullet"/>
      <w:lvlText w:val="o"/>
      <w:lvlJc w:val="left"/>
      <w:pPr>
        <w:ind w:left="5760" w:hanging="360"/>
      </w:pPr>
      <w:rPr>
        <w:rFonts w:ascii="Courier New" w:hAnsi="Courier New" w:cs="Courier New" w:hint="default"/>
      </w:rPr>
    </w:lvl>
    <w:lvl w:ilvl="8" w:tplc="795C285C"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92"/>
    <w:rsid w:val="00082A92"/>
    <w:rsid w:val="00A34E18"/>
    <w:rsid w:val="00C12BBD"/>
    <w:rsid w:val="00D80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4D2B9-0DC8-4DAE-9B27-50F0998A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aliases w:val="Bullets,Dot pt,F5 List Paragraph,List Paragraph1,List Paragraph11"/>
    <w:basedOn w:val="Normal"/>
    <w:link w:val="ListParagraphChar"/>
    <w:uiPriority w:val="34"/>
    <w:qFormat/>
    <w:rsid w:val="00CF1133"/>
    <w:pPr>
      <w:ind w:left="720"/>
      <w:contextualSpacing/>
    </w:pPr>
  </w:style>
  <w:style w:type="paragraph" w:styleId="NoSpacing">
    <w:name w:val="No Spacing"/>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table" w:styleId="TableGrid">
    <w:name w:val="Table Grid"/>
    <w:basedOn w:val="TableNormal"/>
    <w:uiPriority w:val="39"/>
    <w:rsid w:val="00AE4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Dot pt Char,F5 List Paragraph Char,List Paragraph1 Char,List Paragraph11 Char"/>
    <w:link w:val="ListParagraph"/>
    <w:uiPriority w:val="34"/>
    <w:locked/>
    <w:rsid w:val="000F3BB9"/>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D33B1A"/>
    <w:rPr>
      <w:sz w:val="16"/>
      <w:szCs w:val="16"/>
    </w:rPr>
  </w:style>
  <w:style w:type="paragraph" w:styleId="CommentText">
    <w:name w:val="annotation text"/>
    <w:basedOn w:val="Normal"/>
    <w:link w:val="CommentTextChar"/>
    <w:uiPriority w:val="99"/>
    <w:semiHidden/>
    <w:unhideWhenUsed/>
    <w:rsid w:val="00D33B1A"/>
    <w:pPr>
      <w:spacing w:line="240" w:lineRule="auto"/>
    </w:pPr>
    <w:rPr>
      <w:sz w:val="20"/>
      <w:szCs w:val="20"/>
    </w:rPr>
  </w:style>
  <w:style w:type="character" w:customStyle="1" w:styleId="CommentTextChar">
    <w:name w:val="Comment Text Char"/>
    <w:basedOn w:val="DefaultParagraphFont"/>
    <w:link w:val="CommentText"/>
    <w:uiPriority w:val="99"/>
    <w:semiHidden/>
    <w:rsid w:val="00D33B1A"/>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33B1A"/>
    <w:rPr>
      <w:b/>
      <w:bCs/>
    </w:rPr>
  </w:style>
  <w:style w:type="character" w:customStyle="1" w:styleId="CommentSubjectChar">
    <w:name w:val="Comment Subject Char"/>
    <w:basedOn w:val="CommentTextChar"/>
    <w:link w:val="CommentSubject"/>
    <w:uiPriority w:val="99"/>
    <w:semiHidden/>
    <w:rsid w:val="00D33B1A"/>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D33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B1A"/>
    <w:rPr>
      <w:rFonts w:ascii="Segoe UI" w:eastAsia="Calibri" w:hAnsi="Segoe UI" w:cs="Segoe UI"/>
      <w:color w:val="000000"/>
      <w:sz w:val="18"/>
      <w:szCs w:val="18"/>
      <w:lang w:eastAsia="en-GB"/>
    </w:rPr>
  </w:style>
  <w:style w:type="paragraph" w:customStyle="1" w:styleId="Default">
    <w:name w:val="Default"/>
    <w:rsid w:val="000A2A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6E59C-526E-4158-B5EF-9F0787A9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5</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36</cp:revision>
  <dcterms:created xsi:type="dcterms:W3CDTF">2014-12-03T08:17:00Z</dcterms:created>
  <dcterms:modified xsi:type="dcterms:W3CDTF">2018-04-19T15:04:00Z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Growth Deal Fundung Approval and Update Report</vt:lpwstr>
  </property>
  <property fmtid="{D5CDD505-2E9C-101B-9397-08002B2CF9AE}" pid="3" name="LeadOfficer">
    <vt:lpwstr>Kathryn Molloy</vt:lpwstr>
  </property>
  <property fmtid="{D5CDD505-2E9C-101B-9397-08002B2CF9AE}" pid="4" name="LeadOfficerEmail">
    <vt:lpwstr>kathryn.molloy@lancashire.gov.uk</vt:lpwstr>
  </property>
  <property fmtid="{D5CDD505-2E9C-101B-9397-08002B2CF9AE}" pid="5" name="LeadOfficerTel">
    <vt:lpwstr>Tel: 01772 538790</vt:lpwstr>
  </property>
  <property fmtid="{D5CDD505-2E9C-101B-9397-08002B2CF9AE}" pid="6" name="MeetingDate">
    <vt:lpwstr>Tuesday, 24 April 2018</vt:lpwstr>
  </property>
</Properties>
</file>